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B03" w:rsidRPr="00C74AEB" w:rsidRDefault="00475B03" w:rsidP="00475B03">
      <w:pPr>
        <w:spacing w:after="0" w:line="240" w:lineRule="auto"/>
        <w:rPr>
          <w:rFonts w:asciiTheme="majorBidi" w:eastAsia="Times New Roman" w:hAnsiTheme="majorBidi" w:cstheme="majorBidi"/>
          <w:sz w:val="28"/>
          <w:szCs w:val="28"/>
        </w:rPr>
      </w:pPr>
    </w:p>
    <w:p w:rsidR="00475B03" w:rsidRPr="00C74AEB" w:rsidRDefault="00475B03" w:rsidP="00475B03">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ch2"/>
      <w:r w:rsidRPr="00C74AEB">
        <w:rPr>
          <w:rFonts w:asciiTheme="majorBidi" w:eastAsia="Times New Roman" w:hAnsiTheme="majorBidi" w:cstheme="majorBidi"/>
          <w:b/>
          <w:bCs/>
          <w:color w:val="D85F05"/>
          <w:kern w:val="36"/>
          <w:sz w:val="28"/>
          <w:szCs w:val="28"/>
          <w:u w:val="single"/>
        </w:rPr>
        <w:t>Chapter 2 SEED AND FRUIT DEVELOPMENT, GERMINATION, DORMANCY</w:t>
      </w:r>
      <w:bookmarkEnd w:id="0"/>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 w:name="ch2.1"/>
      <w:r w:rsidRPr="00C74AEB">
        <w:rPr>
          <w:rFonts w:asciiTheme="majorBidi" w:eastAsia="Times New Roman" w:hAnsiTheme="majorBidi" w:cstheme="majorBidi"/>
          <w:b/>
          <w:bCs/>
          <w:color w:val="D03724"/>
          <w:sz w:val="28"/>
          <w:szCs w:val="28"/>
          <w:u w:val="single"/>
        </w:rPr>
        <w:t>Introduction</w:t>
      </w:r>
      <w:bookmarkEnd w:id="1"/>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Some knowledge of the biology of seeds is essential to their proper handling. The use of seed for artificial regeneration makes possible a considerable degree of control over the conditions in which it is collected, processed, stored and treated, but the seed's inherent characteristics have been evolved as a result of millenia of adaptation to natural regeneration under local conditions. Knowledge of flowering phenology enables the collector to select the timing and methods of seed harvesting most appropriate to the species, while handling, storage and pretreatment of seed will benefit from a knowledge of how seeds develop in nature.</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This chapter gives a very brief and simplified account of seed biology in angiosperms and gymnosperms, but there is wide variation in the details of seed development between different genera. Readers wishing to obtain fuller information should consult standard texts on seed biology such as Corner (1976), Bhatnagar and Johri (1972), Singh and Johri (1972), Puritch (1972), Allen and Owens (1972), Boland et al. (1980). There are few detailed descriptions of seed development in tropical forest trees.</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2" w:name="ch2.2"/>
      <w:r w:rsidRPr="00C74AEB">
        <w:rPr>
          <w:rFonts w:asciiTheme="majorBidi" w:eastAsia="Times New Roman" w:hAnsiTheme="majorBidi" w:cstheme="majorBidi"/>
          <w:b/>
          <w:bCs/>
          <w:color w:val="D03724"/>
          <w:sz w:val="28"/>
          <w:szCs w:val="28"/>
          <w:u w:val="single"/>
        </w:rPr>
        <w:t>Pollination and Fertilization</w:t>
      </w:r>
      <w:bookmarkEnd w:id="2"/>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A seed is a reproductive unit which develops from an ovule, usually after fertilization. Ovules are borne by both the angiosperms (true flowering plants) and the gymnosperms (which include the conifers). In the angiosperms the ovules are totally enclosed within the ovary, while in the gymnosperms the ovules are “naked”, typically borne in pairs on the upper surface and near the base of each scale in a female cone. Since the cone scales remain tightly closed except at the time of pollination and later at seed shed, the term “naked” is a relative one.</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Seed development is initiated by fertilization, the union of a haploid male nucleus from the pollen grain with a haploid female nucleus within the ovule to form a new diploid organism. Fertilization must be preceded by pollination, the arrival of a pollen grain on the stigma of the female flower in angiosperms or close to the micropyle of the gymnosperm ovule. It is important to distinguish the two separate processes of pollination and fertilization (Fritsch &amp; Salisbury 1947). In most </w:t>
      </w:r>
      <w:r w:rsidRPr="00C74AEB">
        <w:rPr>
          <w:rFonts w:asciiTheme="majorBidi" w:eastAsia="Times New Roman" w:hAnsiTheme="majorBidi" w:cstheme="majorBidi"/>
          <w:sz w:val="28"/>
          <w:szCs w:val="28"/>
        </w:rPr>
        <w:lastRenderedPageBreak/>
        <w:t xml:space="preserve">angiosperms the elongation of the pollen tube is rapid and the interval between pollination and fertilization is only a few days or even hours. In a few angiosperms (e.g. </w:t>
      </w:r>
      <w:r w:rsidRPr="00C74AEB">
        <w:rPr>
          <w:rFonts w:asciiTheme="majorBidi" w:eastAsia="Times New Roman" w:hAnsiTheme="majorBidi" w:cstheme="majorBidi"/>
          <w:sz w:val="28"/>
          <w:szCs w:val="28"/>
          <w:u w:val="single"/>
        </w:rPr>
        <w:t>Liquidambar</w:t>
      </w:r>
      <w:r w:rsidRPr="00C74AEB">
        <w:rPr>
          <w:rFonts w:asciiTheme="majorBidi" w:eastAsia="Times New Roman" w:hAnsiTheme="majorBidi" w:cstheme="majorBidi"/>
          <w:sz w:val="28"/>
          <w:szCs w:val="28"/>
        </w:rPr>
        <w:t xml:space="preserve">, some species of </w:t>
      </w:r>
      <w:r w:rsidRPr="00C74AEB">
        <w:rPr>
          <w:rFonts w:asciiTheme="majorBidi" w:eastAsia="Times New Roman" w:hAnsiTheme="majorBidi" w:cstheme="majorBidi"/>
          <w:sz w:val="28"/>
          <w:szCs w:val="28"/>
          <w:u w:val="single"/>
        </w:rPr>
        <w:t>Quercus</w:t>
      </w:r>
      <w:r w:rsidRPr="00C74AEB">
        <w:rPr>
          <w:rFonts w:asciiTheme="majorBidi" w:eastAsia="Times New Roman" w:hAnsiTheme="majorBidi" w:cstheme="majorBidi"/>
          <w:sz w:val="28"/>
          <w:szCs w:val="28"/>
        </w:rPr>
        <w:t xml:space="preserve">) and many gymnosperms (e.g. </w:t>
      </w:r>
      <w:r w:rsidRPr="00C74AEB">
        <w:rPr>
          <w:rFonts w:asciiTheme="majorBidi" w:eastAsia="Times New Roman" w:hAnsiTheme="majorBidi" w:cstheme="majorBidi"/>
          <w:sz w:val="28"/>
          <w:szCs w:val="28"/>
          <w:u w:val="single"/>
        </w:rPr>
        <w:t>Pseudotsuga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Larix</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Picea</w:t>
      </w:r>
      <w:r w:rsidRPr="00C74AEB">
        <w:rPr>
          <w:rFonts w:asciiTheme="majorBidi" w:eastAsia="Times New Roman" w:hAnsiTheme="majorBidi" w:cstheme="majorBidi"/>
          <w:sz w:val="28"/>
          <w:szCs w:val="28"/>
        </w:rPr>
        <w:t xml:space="preserve">) the interval is several weeks or months, while in other species of </w:t>
      </w:r>
      <w:r w:rsidRPr="00C74AEB">
        <w:rPr>
          <w:rFonts w:asciiTheme="majorBidi" w:eastAsia="Times New Roman" w:hAnsiTheme="majorBidi" w:cstheme="majorBidi"/>
          <w:sz w:val="28"/>
          <w:szCs w:val="28"/>
          <w:u w:val="single"/>
        </w:rPr>
        <w:t>Quercus</w:t>
      </w:r>
      <w:r w:rsidRPr="00C74AEB">
        <w:rPr>
          <w:rFonts w:asciiTheme="majorBidi" w:eastAsia="Times New Roman" w:hAnsiTheme="majorBidi" w:cstheme="majorBidi"/>
          <w:sz w:val="28"/>
          <w:szCs w:val="28"/>
        </w:rPr>
        <w:t xml:space="preserve"> and in many </w:t>
      </w:r>
      <w:r w:rsidRPr="00C74AEB">
        <w:rPr>
          <w:rFonts w:asciiTheme="majorBidi" w:eastAsia="Times New Roman" w:hAnsiTheme="majorBidi" w:cstheme="majorBidi"/>
          <w:sz w:val="28"/>
          <w:szCs w:val="28"/>
          <w:u w:val="single"/>
        </w:rPr>
        <w:t>Pinus</w:t>
      </w:r>
      <w:r w:rsidRPr="00C74AEB">
        <w:rPr>
          <w:rFonts w:asciiTheme="majorBidi" w:eastAsia="Times New Roman" w:hAnsiTheme="majorBidi" w:cstheme="majorBidi"/>
          <w:sz w:val="28"/>
          <w:szCs w:val="28"/>
        </w:rPr>
        <w:t xml:space="preserve"> it is a year to 14 months (Krugman et al. 1974, Kozlowski 1971).</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3" w:name="ch2.3"/>
      <w:r w:rsidRPr="00C74AEB">
        <w:rPr>
          <w:rFonts w:asciiTheme="majorBidi" w:eastAsia="Times New Roman" w:hAnsiTheme="majorBidi" w:cstheme="majorBidi"/>
          <w:b/>
          <w:bCs/>
          <w:color w:val="D03724"/>
          <w:sz w:val="28"/>
          <w:szCs w:val="28"/>
          <w:u w:val="single"/>
        </w:rPr>
        <w:t>Angiosperm Seed Development</w:t>
      </w:r>
      <w:bookmarkEnd w:id="3"/>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At the time of fertilization a typical angiosperm ovule consists of one or two protective coats - the integuments - and a central tissue - the nucellus. Often the integuments and the nucellus are clearly differentiated only in the region of the micropyle - the minute pore in the integuments through which, in many species, the pollen tube enters the nucellus. The ovule is attached to the wall of the ovary by a stalk - the funicle.</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Meiosis of a mother cell within the nucellus, followed by several mitotic cell divisions, leads to the formation of the embryo sac, a haploid eight-nucleate, seven-celled structure which occupies the central space within the nucellus (Chuntanaparb 1975). When the pollen tube reaches the embryo sac it releases two male gametes. One male gamete unites with one of the nuclei in the embryo sac -the egg cell - to form a zygote which later develops into the diploid embryo plant. The second male gamete unites with two other female nuclei - the polar nuclei - to form a triploid cell which later develops into the endosperm, a tissue which acts as a food reserve for the growing embryo. The remaining five nuclei of the embryo sac (2 synergids and 3 antipodal cells) play no further role in seed development. Successful fertilization of the egg cell and successful triple fusion with the polar nuclei are both necessary for development of a viable seed.</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Development of the fertilized ovule into the mature seed involves several different parts. From the outside inwards these are as follows:</w:t>
      </w:r>
    </w:p>
    <w:p w:rsidR="00475B03" w:rsidRPr="00C74AEB" w:rsidRDefault="00475B03" w:rsidP="00475B03">
      <w:pPr>
        <w:numPr>
          <w:ilvl w:val="0"/>
          <w:numId w:val="1"/>
        </w:num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The integuments of the ovule become the seedcoat of the mature seed. This sometimes consists of two distinct coverings, a typically firm outer seedcoat, the testa, and a generally thin, membranous inner coat, the tegmen. The testa protects the seed contents from drying out, mechanical injury, or attacks by fungi, bacteria and insects, until it is split at germination (Krugman et al. 1974). But there is great variation in seedcoat among angiosperms. </w:t>
      </w:r>
    </w:p>
    <w:p w:rsidR="00475B03" w:rsidRPr="00C74AEB" w:rsidRDefault="00475B03" w:rsidP="00475B03">
      <w:pPr>
        <w:spacing w:after="0" w:line="240" w:lineRule="auto"/>
        <w:jc w:val="center"/>
        <w:rPr>
          <w:rFonts w:asciiTheme="majorBidi" w:eastAsia="Times New Roman" w:hAnsiTheme="majorBidi" w:cstheme="majorBidi"/>
          <w:sz w:val="28"/>
          <w:szCs w:val="28"/>
        </w:rPr>
      </w:pPr>
      <w:bookmarkStart w:id="4" w:name="fig2.1"/>
      <w:bookmarkEnd w:id="4"/>
      <w:r w:rsidRPr="00C74AEB">
        <w:rPr>
          <w:rFonts w:asciiTheme="majorBidi" w:eastAsia="Times New Roman" w:hAnsiTheme="majorBidi" w:cstheme="majorBidi"/>
          <w:noProof/>
          <w:sz w:val="28"/>
          <w:szCs w:val="28"/>
        </w:rPr>
        <w:lastRenderedPageBreak/>
        <w:drawing>
          <wp:inline distT="0" distB="0" distL="0" distR="0">
            <wp:extent cx="6195060" cy="4503420"/>
            <wp:effectExtent l="19050" t="0" r="0" b="0"/>
            <wp:docPr id="5" name="Picture 5"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
                    <pic:cNvPicPr>
                      <a:picLocks noChangeAspect="1" noChangeArrowheads="1"/>
                    </pic:cNvPicPr>
                  </pic:nvPicPr>
                  <pic:blipFill>
                    <a:blip r:embed="rId7" cstate="print"/>
                    <a:srcRect/>
                    <a:stretch>
                      <a:fillRect/>
                    </a:stretch>
                  </pic:blipFill>
                  <pic:spPr bwMode="auto">
                    <a:xfrm>
                      <a:off x="0" y="0"/>
                      <a:ext cx="6195060" cy="4503420"/>
                    </a:xfrm>
                    <a:prstGeom prst="rect">
                      <a:avLst/>
                    </a:prstGeom>
                    <a:noFill/>
                    <a:ln w="9525">
                      <a:noFill/>
                      <a:miter lim="800000"/>
                      <a:headEnd/>
                      <a:tailEnd/>
                    </a:ln>
                  </pic:spPr>
                </pic:pic>
              </a:graphicData>
            </a:graphic>
          </wp:inline>
        </w:drawing>
      </w:r>
    </w:p>
    <w:p w:rsidR="00475B03" w:rsidRPr="00C74AEB" w:rsidRDefault="00475B03" w:rsidP="00475B03">
      <w:pPr>
        <w:spacing w:before="100" w:beforeAutospacing="1" w:after="100" w:afterAutospacing="1" w:line="240" w:lineRule="auto"/>
        <w:ind w:left="2610"/>
        <w:rPr>
          <w:rFonts w:asciiTheme="majorBidi" w:eastAsia="Times New Roman" w:hAnsiTheme="majorBidi" w:cstheme="majorBidi"/>
          <w:sz w:val="28"/>
          <w:szCs w:val="28"/>
        </w:rPr>
      </w:pPr>
      <w:r w:rsidRPr="00C74AEB">
        <w:rPr>
          <w:rFonts w:asciiTheme="majorBidi" w:eastAsia="Times New Roman" w:hAnsiTheme="majorBidi" w:cstheme="majorBidi"/>
          <w:b/>
          <w:bCs/>
          <w:sz w:val="28"/>
          <w:szCs w:val="28"/>
        </w:rPr>
        <w:t>2.1</w:t>
      </w:r>
      <w:r w:rsidRPr="00C74AEB">
        <w:rPr>
          <w:rFonts w:asciiTheme="majorBidi" w:eastAsia="Times New Roman" w:hAnsiTheme="majorBidi" w:cstheme="majorBidi"/>
          <w:sz w:val="28"/>
          <w:szCs w:val="28"/>
        </w:rPr>
        <w:t xml:space="preserve"> Longitudinal section through a typical pistil just before fertilization. (USDA Forest Service)</w:t>
      </w:r>
    </w:p>
    <w:p w:rsidR="00475B03" w:rsidRPr="00C74AEB" w:rsidRDefault="00475B03" w:rsidP="00475B03">
      <w:pPr>
        <w:spacing w:after="0" w:line="240" w:lineRule="auto"/>
        <w:jc w:val="center"/>
        <w:rPr>
          <w:rFonts w:asciiTheme="majorBidi" w:eastAsia="Times New Roman" w:hAnsiTheme="majorBidi" w:cstheme="majorBidi"/>
          <w:sz w:val="28"/>
          <w:szCs w:val="28"/>
        </w:rPr>
      </w:pPr>
      <w:bookmarkStart w:id="5" w:name="fig2.2"/>
      <w:bookmarkEnd w:id="5"/>
      <w:r w:rsidRPr="00C74AEB">
        <w:rPr>
          <w:rFonts w:asciiTheme="majorBidi" w:eastAsia="Times New Roman" w:hAnsiTheme="majorBidi" w:cstheme="majorBidi"/>
          <w:noProof/>
          <w:sz w:val="28"/>
          <w:szCs w:val="28"/>
        </w:rPr>
        <w:lastRenderedPageBreak/>
        <w:drawing>
          <wp:inline distT="0" distB="0" distL="0" distR="0">
            <wp:extent cx="6195060" cy="3749040"/>
            <wp:effectExtent l="19050" t="0" r="0" b="0"/>
            <wp:docPr id="6" name="Picture 6"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2"/>
                    <pic:cNvPicPr>
                      <a:picLocks noChangeAspect="1" noChangeArrowheads="1"/>
                    </pic:cNvPicPr>
                  </pic:nvPicPr>
                  <pic:blipFill>
                    <a:blip r:embed="rId8" cstate="print"/>
                    <a:srcRect/>
                    <a:stretch>
                      <a:fillRect/>
                    </a:stretch>
                  </pic:blipFill>
                  <pic:spPr bwMode="auto">
                    <a:xfrm>
                      <a:off x="0" y="0"/>
                      <a:ext cx="6195060" cy="3749040"/>
                    </a:xfrm>
                    <a:prstGeom prst="rect">
                      <a:avLst/>
                    </a:prstGeom>
                    <a:noFill/>
                    <a:ln w="9525">
                      <a:noFill/>
                      <a:miter lim="800000"/>
                      <a:headEnd/>
                      <a:tailEnd/>
                    </a:ln>
                  </pic:spPr>
                </pic:pic>
              </a:graphicData>
            </a:graphic>
          </wp:inline>
        </w:drawing>
      </w:r>
    </w:p>
    <w:p w:rsidR="00475B03" w:rsidRPr="00C74AEB" w:rsidRDefault="00475B03" w:rsidP="00475B03">
      <w:pPr>
        <w:spacing w:before="100" w:beforeAutospacing="1" w:after="100" w:afterAutospacing="1" w:line="240" w:lineRule="auto"/>
        <w:ind w:left="2610" w:right="2610"/>
        <w:rPr>
          <w:rFonts w:asciiTheme="majorBidi" w:eastAsia="Times New Roman" w:hAnsiTheme="majorBidi" w:cstheme="majorBidi"/>
          <w:sz w:val="28"/>
          <w:szCs w:val="28"/>
        </w:rPr>
      </w:pPr>
      <w:r w:rsidRPr="00C74AEB">
        <w:rPr>
          <w:rFonts w:asciiTheme="majorBidi" w:eastAsia="Times New Roman" w:hAnsiTheme="majorBidi" w:cstheme="majorBidi"/>
          <w:b/>
          <w:bCs/>
          <w:sz w:val="28"/>
          <w:szCs w:val="28"/>
        </w:rPr>
        <w:t>2.2</w:t>
      </w:r>
      <w:r w:rsidRPr="00C74AEB">
        <w:rPr>
          <w:rFonts w:asciiTheme="majorBidi" w:eastAsia="Times New Roman" w:hAnsiTheme="majorBidi" w:cstheme="majorBidi"/>
          <w:sz w:val="28"/>
          <w:szCs w:val="28"/>
        </w:rPr>
        <w:t xml:space="preserve"> Longitudinal sections through ripe seeds of:- (A) </w:t>
      </w:r>
      <w:r w:rsidRPr="00C74AEB">
        <w:rPr>
          <w:rFonts w:asciiTheme="majorBidi" w:eastAsia="Times New Roman" w:hAnsiTheme="majorBidi" w:cstheme="majorBidi"/>
          <w:i/>
          <w:iCs/>
          <w:sz w:val="28"/>
          <w:szCs w:val="28"/>
        </w:rPr>
        <w:t>Paulownia tomentosa</w:t>
      </w:r>
      <w:r w:rsidRPr="00C74AEB">
        <w:rPr>
          <w:rFonts w:asciiTheme="majorBidi" w:eastAsia="Times New Roman" w:hAnsiTheme="majorBidi" w:cstheme="majorBidi"/>
          <w:sz w:val="28"/>
          <w:szCs w:val="28"/>
        </w:rPr>
        <w:t xml:space="preserve"> showing conspicuous endosperm. (B) </w:t>
      </w:r>
      <w:r w:rsidRPr="00C74AEB">
        <w:rPr>
          <w:rFonts w:asciiTheme="majorBidi" w:eastAsia="Times New Roman" w:hAnsiTheme="majorBidi" w:cstheme="majorBidi"/>
          <w:i/>
          <w:iCs/>
          <w:sz w:val="28"/>
          <w:szCs w:val="28"/>
        </w:rPr>
        <w:t>Tectona grandis</w:t>
      </w:r>
      <w:r w:rsidRPr="00C74AEB">
        <w:rPr>
          <w:rFonts w:asciiTheme="majorBidi" w:eastAsia="Times New Roman" w:hAnsiTheme="majorBidi" w:cstheme="majorBidi"/>
          <w:sz w:val="28"/>
          <w:szCs w:val="28"/>
        </w:rPr>
        <w:t>. Endosperm has disappeared and cotyledons occupy almost the entire seed cavity. (USDA Forest Service)</w:t>
      </w:r>
    </w:p>
    <w:tbl>
      <w:tblPr>
        <w:tblW w:w="3000" w:type="pct"/>
        <w:jc w:val="center"/>
        <w:tblCellSpacing w:w="0" w:type="dxa"/>
        <w:tblCellMar>
          <w:top w:w="45" w:type="dxa"/>
          <w:left w:w="45" w:type="dxa"/>
          <w:bottom w:w="45" w:type="dxa"/>
          <w:right w:w="45" w:type="dxa"/>
        </w:tblCellMar>
        <w:tblLook w:val="04A0"/>
      </w:tblPr>
      <w:tblGrid>
        <w:gridCol w:w="4620"/>
        <w:gridCol w:w="4620"/>
      </w:tblGrid>
      <w:tr w:rsidR="00475B03" w:rsidRPr="00C74AEB">
        <w:trPr>
          <w:tblCellSpacing w:w="0" w:type="dxa"/>
          <w:jc w:val="center"/>
        </w:trPr>
        <w:tc>
          <w:tcPr>
            <w:tcW w:w="2500" w:type="pct"/>
            <w:vAlign w:val="center"/>
            <w:hideMark/>
          </w:tcPr>
          <w:p w:rsidR="00475B03" w:rsidRPr="00C74AEB" w:rsidRDefault="00475B03" w:rsidP="00475B03">
            <w:pPr>
              <w:spacing w:after="0" w:line="240" w:lineRule="auto"/>
              <w:rPr>
                <w:rFonts w:asciiTheme="majorBidi" w:eastAsia="Times New Roman" w:hAnsiTheme="majorBidi" w:cstheme="majorBidi"/>
                <w:sz w:val="28"/>
                <w:szCs w:val="28"/>
              </w:rPr>
            </w:pPr>
            <w:bookmarkStart w:id="6" w:name="fig2.3"/>
            <w:bookmarkEnd w:id="6"/>
            <w:r w:rsidRPr="00C74AEB">
              <w:rPr>
                <w:rFonts w:asciiTheme="majorBidi" w:eastAsia="Times New Roman" w:hAnsiTheme="majorBidi" w:cstheme="majorBidi"/>
                <w:b/>
                <w:bCs/>
                <w:sz w:val="28"/>
                <w:szCs w:val="28"/>
              </w:rPr>
              <w:t>2.3</w:t>
            </w:r>
            <w:r w:rsidRPr="00C74AEB">
              <w:rPr>
                <w:rFonts w:asciiTheme="majorBidi" w:eastAsia="Times New Roman" w:hAnsiTheme="majorBidi" w:cstheme="majorBidi"/>
                <w:sz w:val="28"/>
                <w:szCs w:val="28"/>
              </w:rPr>
              <w:t xml:space="preserve"> Examples of different types of fruits:</w:t>
            </w:r>
          </w:p>
        </w:tc>
        <w:tc>
          <w:tcPr>
            <w:tcW w:w="0" w:type="auto"/>
            <w:vAlign w:val="center"/>
            <w:hideMark/>
          </w:tcPr>
          <w:p w:rsidR="00475B03" w:rsidRPr="00C74AEB" w:rsidRDefault="00475B03" w:rsidP="00475B03">
            <w:pPr>
              <w:spacing w:after="0"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w:t>
            </w:r>
          </w:p>
        </w:tc>
      </w:tr>
      <w:tr w:rsidR="00475B03" w:rsidRPr="00C74AEB">
        <w:trPr>
          <w:tblCellSpacing w:w="0" w:type="dxa"/>
          <w:jc w:val="center"/>
        </w:trPr>
        <w:tc>
          <w:tcPr>
            <w:tcW w:w="0" w:type="auto"/>
            <w:vAlign w:val="center"/>
            <w:hideMark/>
          </w:tcPr>
          <w:p w:rsidR="00475B03" w:rsidRPr="00C74AEB" w:rsidRDefault="00475B03" w:rsidP="00475B03">
            <w:pPr>
              <w:spacing w:after="0" w:line="240" w:lineRule="auto"/>
              <w:jc w:val="center"/>
              <w:rPr>
                <w:rFonts w:asciiTheme="majorBidi" w:eastAsia="Times New Roman" w:hAnsiTheme="majorBidi" w:cstheme="majorBidi"/>
                <w:sz w:val="28"/>
                <w:szCs w:val="28"/>
              </w:rPr>
            </w:pPr>
            <w:r w:rsidRPr="00C74AEB">
              <w:rPr>
                <w:rFonts w:asciiTheme="majorBidi" w:eastAsia="Times New Roman" w:hAnsiTheme="majorBidi" w:cstheme="majorBidi"/>
                <w:noProof/>
                <w:sz w:val="28"/>
                <w:szCs w:val="28"/>
              </w:rPr>
              <w:lastRenderedPageBreak/>
              <w:drawing>
                <wp:inline distT="0" distB="0" distL="0" distR="0">
                  <wp:extent cx="2857500" cy="2571750"/>
                  <wp:effectExtent l="19050" t="0" r="0" b="0"/>
                  <wp:docPr id="7" name="Picture 7"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3"/>
                          <pic:cNvPicPr>
                            <a:picLocks noChangeAspect="1" noChangeArrowheads="1"/>
                          </pic:cNvPicPr>
                        </pic:nvPicPr>
                        <pic:blipFill>
                          <a:blip r:embed="rId9" cstate="print"/>
                          <a:srcRect/>
                          <a:stretch>
                            <a:fillRect/>
                          </a:stretch>
                        </pic:blipFill>
                        <pic:spPr bwMode="auto">
                          <a:xfrm>
                            <a:off x="0" y="0"/>
                            <a:ext cx="2857500" cy="2571750"/>
                          </a:xfrm>
                          <a:prstGeom prst="rect">
                            <a:avLst/>
                          </a:prstGeom>
                          <a:noFill/>
                          <a:ln w="9525">
                            <a:noFill/>
                            <a:miter lim="800000"/>
                            <a:headEnd/>
                            <a:tailEnd/>
                          </a:ln>
                        </pic:spPr>
                      </pic:pic>
                    </a:graphicData>
                  </a:graphic>
                </wp:inline>
              </w:drawing>
            </w:r>
          </w:p>
        </w:tc>
        <w:tc>
          <w:tcPr>
            <w:tcW w:w="0" w:type="auto"/>
            <w:vAlign w:val="center"/>
            <w:hideMark/>
          </w:tcPr>
          <w:p w:rsidR="00475B03" w:rsidRPr="00C74AEB" w:rsidRDefault="00475B03" w:rsidP="00475B03">
            <w:pPr>
              <w:spacing w:after="0" w:line="240" w:lineRule="auto"/>
              <w:jc w:val="center"/>
              <w:rPr>
                <w:rFonts w:asciiTheme="majorBidi" w:eastAsia="Times New Roman" w:hAnsiTheme="majorBidi" w:cstheme="majorBidi"/>
                <w:sz w:val="28"/>
                <w:szCs w:val="28"/>
              </w:rPr>
            </w:pPr>
            <w:r w:rsidRPr="00C74AEB">
              <w:rPr>
                <w:rFonts w:asciiTheme="majorBidi" w:eastAsia="Times New Roman" w:hAnsiTheme="majorBidi" w:cstheme="majorBidi"/>
                <w:noProof/>
                <w:sz w:val="28"/>
                <w:szCs w:val="28"/>
              </w:rPr>
              <w:drawing>
                <wp:inline distT="0" distB="0" distL="0" distR="0">
                  <wp:extent cx="2857500" cy="1691640"/>
                  <wp:effectExtent l="19050" t="0" r="0" b="0"/>
                  <wp:docPr id="8" name="Picture 8"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3"/>
                          <pic:cNvPicPr>
                            <a:picLocks noChangeAspect="1" noChangeArrowheads="1"/>
                          </pic:cNvPicPr>
                        </pic:nvPicPr>
                        <pic:blipFill>
                          <a:blip r:embed="rId10" cstate="print"/>
                          <a:srcRect/>
                          <a:stretch>
                            <a:fillRect/>
                          </a:stretch>
                        </pic:blipFill>
                        <pic:spPr bwMode="auto">
                          <a:xfrm>
                            <a:off x="0" y="0"/>
                            <a:ext cx="2857500" cy="1691640"/>
                          </a:xfrm>
                          <a:prstGeom prst="rect">
                            <a:avLst/>
                          </a:prstGeom>
                          <a:noFill/>
                          <a:ln w="9525">
                            <a:noFill/>
                            <a:miter lim="800000"/>
                            <a:headEnd/>
                            <a:tailEnd/>
                          </a:ln>
                        </pic:spPr>
                      </pic:pic>
                    </a:graphicData>
                  </a:graphic>
                </wp:inline>
              </w:drawing>
            </w:r>
          </w:p>
        </w:tc>
      </w:tr>
      <w:tr w:rsidR="00475B03" w:rsidRPr="00C74AEB">
        <w:trPr>
          <w:tblCellSpacing w:w="0" w:type="dxa"/>
          <w:jc w:val="center"/>
        </w:trPr>
        <w:tc>
          <w:tcPr>
            <w:tcW w:w="0" w:type="auto"/>
            <w:vAlign w:val="center"/>
            <w:hideMark/>
          </w:tcPr>
          <w:p w:rsidR="00475B03" w:rsidRPr="00C74AEB" w:rsidRDefault="00475B03" w:rsidP="00475B03">
            <w:pPr>
              <w:spacing w:after="0"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(A) Cross-section of capsule of </w:t>
            </w:r>
            <w:r w:rsidRPr="00C74AEB">
              <w:rPr>
                <w:rFonts w:asciiTheme="majorBidi" w:eastAsia="Times New Roman" w:hAnsiTheme="majorBidi" w:cstheme="majorBidi"/>
                <w:i/>
                <w:iCs/>
                <w:sz w:val="28"/>
                <w:szCs w:val="28"/>
              </w:rPr>
              <w:t>Eucalyptus preissiana</w:t>
            </w:r>
            <w:r w:rsidRPr="00C74AEB">
              <w:rPr>
                <w:rFonts w:asciiTheme="majorBidi" w:eastAsia="Times New Roman" w:hAnsiTheme="majorBidi" w:cstheme="majorBidi"/>
                <w:sz w:val="28"/>
                <w:szCs w:val="28"/>
              </w:rPr>
              <w:t xml:space="preserve"> showing loculi, axis, placentae and ovules. (Division of Forest Research, CSIRO, Australia).</w:t>
            </w:r>
          </w:p>
        </w:tc>
        <w:tc>
          <w:tcPr>
            <w:tcW w:w="0" w:type="auto"/>
            <w:hideMark/>
          </w:tcPr>
          <w:p w:rsidR="00475B03" w:rsidRPr="00C74AEB" w:rsidRDefault="00475B03" w:rsidP="00475B03">
            <w:pPr>
              <w:spacing w:after="0"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(B) Open pod with seeds of </w:t>
            </w:r>
            <w:r w:rsidRPr="00C74AEB">
              <w:rPr>
                <w:rFonts w:asciiTheme="majorBidi" w:eastAsia="Times New Roman" w:hAnsiTheme="majorBidi" w:cstheme="majorBidi"/>
                <w:i/>
                <w:iCs/>
                <w:sz w:val="28"/>
                <w:szCs w:val="28"/>
              </w:rPr>
              <w:t>Acacia aneura</w:t>
            </w:r>
            <w:r w:rsidRPr="00C74AEB">
              <w:rPr>
                <w:rFonts w:asciiTheme="majorBidi" w:eastAsia="Times New Roman" w:hAnsiTheme="majorBidi" w:cstheme="majorBidi"/>
                <w:sz w:val="28"/>
                <w:szCs w:val="28"/>
              </w:rPr>
              <w:t>. (FAO/Division of Forest Research, CSIRO, Australia).</w:t>
            </w:r>
          </w:p>
        </w:tc>
      </w:tr>
      <w:tr w:rsidR="00475B03" w:rsidRPr="00C74AEB">
        <w:trPr>
          <w:tblCellSpacing w:w="0" w:type="dxa"/>
          <w:jc w:val="center"/>
        </w:trPr>
        <w:tc>
          <w:tcPr>
            <w:tcW w:w="0" w:type="auto"/>
            <w:vAlign w:val="center"/>
            <w:hideMark/>
          </w:tcPr>
          <w:p w:rsidR="00475B03" w:rsidRPr="00C74AEB" w:rsidRDefault="00475B03" w:rsidP="00475B03">
            <w:pPr>
              <w:spacing w:after="0" w:line="240" w:lineRule="auto"/>
              <w:jc w:val="center"/>
              <w:rPr>
                <w:rFonts w:asciiTheme="majorBidi" w:eastAsia="Times New Roman" w:hAnsiTheme="majorBidi" w:cstheme="majorBidi"/>
                <w:sz w:val="28"/>
                <w:szCs w:val="28"/>
              </w:rPr>
            </w:pPr>
            <w:r w:rsidRPr="00C74AEB">
              <w:rPr>
                <w:rFonts w:asciiTheme="majorBidi" w:eastAsia="Times New Roman" w:hAnsiTheme="majorBidi" w:cstheme="majorBidi"/>
                <w:noProof/>
                <w:sz w:val="28"/>
                <w:szCs w:val="28"/>
              </w:rPr>
              <w:drawing>
                <wp:inline distT="0" distB="0" distL="0" distR="0">
                  <wp:extent cx="2663190" cy="1794510"/>
                  <wp:effectExtent l="19050" t="0" r="3810" b="0"/>
                  <wp:docPr id="9" name="Picture 9"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3"/>
                          <pic:cNvPicPr>
                            <a:picLocks noChangeAspect="1" noChangeArrowheads="1"/>
                          </pic:cNvPicPr>
                        </pic:nvPicPr>
                        <pic:blipFill>
                          <a:blip r:embed="rId11" cstate="print"/>
                          <a:srcRect/>
                          <a:stretch>
                            <a:fillRect/>
                          </a:stretch>
                        </pic:blipFill>
                        <pic:spPr bwMode="auto">
                          <a:xfrm>
                            <a:off x="0" y="0"/>
                            <a:ext cx="2663190" cy="1794510"/>
                          </a:xfrm>
                          <a:prstGeom prst="rect">
                            <a:avLst/>
                          </a:prstGeom>
                          <a:noFill/>
                          <a:ln w="9525">
                            <a:noFill/>
                            <a:miter lim="800000"/>
                            <a:headEnd/>
                            <a:tailEnd/>
                          </a:ln>
                        </pic:spPr>
                      </pic:pic>
                    </a:graphicData>
                  </a:graphic>
                </wp:inline>
              </w:drawing>
            </w:r>
          </w:p>
        </w:tc>
        <w:tc>
          <w:tcPr>
            <w:tcW w:w="0" w:type="auto"/>
            <w:vAlign w:val="center"/>
            <w:hideMark/>
          </w:tcPr>
          <w:p w:rsidR="00475B03" w:rsidRPr="00C74AEB" w:rsidRDefault="00475B03" w:rsidP="00475B03">
            <w:pPr>
              <w:spacing w:after="0" w:line="240" w:lineRule="auto"/>
              <w:jc w:val="center"/>
              <w:rPr>
                <w:rFonts w:asciiTheme="majorBidi" w:eastAsia="Times New Roman" w:hAnsiTheme="majorBidi" w:cstheme="majorBidi"/>
                <w:sz w:val="28"/>
                <w:szCs w:val="28"/>
              </w:rPr>
            </w:pPr>
            <w:r w:rsidRPr="00C74AEB">
              <w:rPr>
                <w:rFonts w:asciiTheme="majorBidi" w:eastAsia="Times New Roman" w:hAnsiTheme="majorBidi" w:cstheme="majorBidi"/>
                <w:noProof/>
                <w:sz w:val="28"/>
                <w:szCs w:val="28"/>
              </w:rPr>
              <w:drawing>
                <wp:inline distT="0" distB="0" distL="0" distR="0">
                  <wp:extent cx="2663190" cy="2194560"/>
                  <wp:effectExtent l="19050" t="0" r="3810" b="0"/>
                  <wp:docPr id="10" name="Picture 10"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3"/>
                          <pic:cNvPicPr>
                            <a:picLocks noChangeAspect="1" noChangeArrowheads="1"/>
                          </pic:cNvPicPr>
                        </pic:nvPicPr>
                        <pic:blipFill>
                          <a:blip r:embed="rId12" cstate="print"/>
                          <a:srcRect/>
                          <a:stretch>
                            <a:fillRect/>
                          </a:stretch>
                        </pic:blipFill>
                        <pic:spPr bwMode="auto">
                          <a:xfrm>
                            <a:off x="0" y="0"/>
                            <a:ext cx="2663190" cy="2194560"/>
                          </a:xfrm>
                          <a:prstGeom prst="rect">
                            <a:avLst/>
                          </a:prstGeom>
                          <a:noFill/>
                          <a:ln w="9525">
                            <a:noFill/>
                            <a:miter lim="800000"/>
                            <a:headEnd/>
                            <a:tailEnd/>
                          </a:ln>
                        </pic:spPr>
                      </pic:pic>
                    </a:graphicData>
                  </a:graphic>
                </wp:inline>
              </w:drawing>
            </w:r>
          </w:p>
        </w:tc>
      </w:tr>
      <w:tr w:rsidR="00475B03" w:rsidRPr="00C74AEB">
        <w:trPr>
          <w:tblCellSpacing w:w="0" w:type="dxa"/>
          <w:jc w:val="center"/>
        </w:trPr>
        <w:tc>
          <w:tcPr>
            <w:tcW w:w="0" w:type="auto"/>
            <w:vAlign w:val="center"/>
            <w:hideMark/>
          </w:tcPr>
          <w:p w:rsidR="00475B03" w:rsidRPr="00C74AEB" w:rsidRDefault="00475B03" w:rsidP="00475B03">
            <w:pPr>
              <w:spacing w:after="0"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(C) Samara of </w:t>
            </w:r>
            <w:r w:rsidRPr="00C74AEB">
              <w:rPr>
                <w:rFonts w:asciiTheme="majorBidi" w:eastAsia="Times New Roman" w:hAnsiTheme="majorBidi" w:cstheme="majorBidi"/>
                <w:i/>
                <w:iCs/>
                <w:sz w:val="28"/>
                <w:szCs w:val="28"/>
              </w:rPr>
              <w:t>Triplochiton soleroxylon</w:t>
            </w:r>
            <w:r w:rsidRPr="00C74AEB">
              <w:rPr>
                <w:rFonts w:asciiTheme="majorBidi" w:eastAsia="Times New Roman" w:hAnsiTheme="majorBidi" w:cstheme="majorBidi"/>
                <w:sz w:val="28"/>
                <w:szCs w:val="28"/>
              </w:rPr>
              <w:t>. (Forest Research Institute of Nigeria).</w:t>
            </w:r>
          </w:p>
        </w:tc>
        <w:tc>
          <w:tcPr>
            <w:tcW w:w="0" w:type="auto"/>
            <w:vAlign w:val="center"/>
            <w:hideMark/>
          </w:tcPr>
          <w:p w:rsidR="00475B03" w:rsidRPr="00C74AEB" w:rsidRDefault="00475B03" w:rsidP="00475B03">
            <w:pPr>
              <w:spacing w:after="0"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(D) Nut (acorn) of </w:t>
            </w:r>
            <w:r w:rsidRPr="00C74AEB">
              <w:rPr>
                <w:rFonts w:asciiTheme="majorBidi" w:eastAsia="Times New Roman" w:hAnsiTheme="majorBidi" w:cstheme="majorBidi"/>
                <w:i/>
                <w:iCs/>
                <w:sz w:val="28"/>
                <w:szCs w:val="28"/>
              </w:rPr>
              <w:t>Quercus rubra</w:t>
            </w:r>
            <w:r w:rsidRPr="00C74AEB">
              <w:rPr>
                <w:rFonts w:asciiTheme="majorBidi" w:eastAsia="Times New Roman" w:hAnsiTheme="majorBidi" w:cstheme="majorBidi"/>
                <w:sz w:val="28"/>
                <w:szCs w:val="28"/>
              </w:rPr>
              <w:t>. (USDA Forest Service).</w:t>
            </w:r>
          </w:p>
        </w:tc>
      </w:tr>
      <w:tr w:rsidR="00475B03" w:rsidRPr="00C74AEB">
        <w:trPr>
          <w:tblCellSpacing w:w="0" w:type="dxa"/>
          <w:jc w:val="center"/>
        </w:trPr>
        <w:tc>
          <w:tcPr>
            <w:tcW w:w="0" w:type="auto"/>
            <w:vAlign w:val="center"/>
            <w:hideMark/>
          </w:tcPr>
          <w:p w:rsidR="00475B03" w:rsidRPr="00C74AEB" w:rsidRDefault="00475B03" w:rsidP="00475B03">
            <w:pPr>
              <w:spacing w:after="0" w:line="240" w:lineRule="auto"/>
              <w:jc w:val="center"/>
              <w:rPr>
                <w:rFonts w:asciiTheme="majorBidi" w:eastAsia="Times New Roman" w:hAnsiTheme="majorBidi" w:cstheme="majorBidi"/>
                <w:sz w:val="28"/>
                <w:szCs w:val="28"/>
              </w:rPr>
            </w:pPr>
            <w:r w:rsidRPr="00C74AEB">
              <w:rPr>
                <w:rFonts w:asciiTheme="majorBidi" w:eastAsia="Times New Roman" w:hAnsiTheme="majorBidi" w:cstheme="majorBidi"/>
                <w:noProof/>
                <w:sz w:val="28"/>
                <w:szCs w:val="28"/>
              </w:rPr>
              <w:lastRenderedPageBreak/>
              <w:drawing>
                <wp:inline distT="0" distB="0" distL="0" distR="0">
                  <wp:extent cx="2663190" cy="2000250"/>
                  <wp:effectExtent l="19050" t="0" r="3810" b="0"/>
                  <wp:docPr id="11" name="Picture 11"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3"/>
                          <pic:cNvPicPr>
                            <a:picLocks noChangeAspect="1" noChangeArrowheads="1"/>
                          </pic:cNvPicPr>
                        </pic:nvPicPr>
                        <pic:blipFill>
                          <a:blip r:embed="rId13" cstate="print"/>
                          <a:srcRect/>
                          <a:stretch>
                            <a:fillRect/>
                          </a:stretch>
                        </pic:blipFill>
                        <pic:spPr bwMode="auto">
                          <a:xfrm>
                            <a:off x="0" y="0"/>
                            <a:ext cx="2663190" cy="2000250"/>
                          </a:xfrm>
                          <a:prstGeom prst="rect">
                            <a:avLst/>
                          </a:prstGeom>
                          <a:noFill/>
                          <a:ln w="9525">
                            <a:noFill/>
                            <a:miter lim="800000"/>
                            <a:headEnd/>
                            <a:tailEnd/>
                          </a:ln>
                        </pic:spPr>
                      </pic:pic>
                    </a:graphicData>
                  </a:graphic>
                </wp:inline>
              </w:drawing>
            </w:r>
          </w:p>
        </w:tc>
        <w:tc>
          <w:tcPr>
            <w:tcW w:w="0" w:type="auto"/>
            <w:vAlign w:val="center"/>
            <w:hideMark/>
          </w:tcPr>
          <w:p w:rsidR="00475B03" w:rsidRPr="00C74AEB" w:rsidRDefault="00475B03" w:rsidP="00475B03">
            <w:pPr>
              <w:spacing w:after="0" w:line="240" w:lineRule="auto"/>
              <w:jc w:val="center"/>
              <w:rPr>
                <w:rFonts w:asciiTheme="majorBidi" w:eastAsia="Times New Roman" w:hAnsiTheme="majorBidi" w:cstheme="majorBidi"/>
                <w:sz w:val="28"/>
                <w:szCs w:val="28"/>
              </w:rPr>
            </w:pPr>
            <w:r w:rsidRPr="00C74AEB">
              <w:rPr>
                <w:rFonts w:asciiTheme="majorBidi" w:eastAsia="Times New Roman" w:hAnsiTheme="majorBidi" w:cstheme="majorBidi"/>
                <w:noProof/>
                <w:sz w:val="28"/>
                <w:szCs w:val="28"/>
              </w:rPr>
              <w:drawing>
                <wp:inline distT="0" distB="0" distL="0" distR="0">
                  <wp:extent cx="2663190" cy="2423160"/>
                  <wp:effectExtent l="19050" t="0" r="3810" b="0"/>
                  <wp:docPr id="12" name="Picture 12"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3"/>
                          <pic:cNvPicPr>
                            <a:picLocks noChangeAspect="1" noChangeArrowheads="1"/>
                          </pic:cNvPicPr>
                        </pic:nvPicPr>
                        <pic:blipFill>
                          <a:blip r:embed="rId14" cstate="print"/>
                          <a:srcRect/>
                          <a:stretch>
                            <a:fillRect/>
                          </a:stretch>
                        </pic:blipFill>
                        <pic:spPr bwMode="auto">
                          <a:xfrm>
                            <a:off x="0" y="0"/>
                            <a:ext cx="2663190" cy="2423160"/>
                          </a:xfrm>
                          <a:prstGeom prst="rect">
                            <a:avLst/>
                          </a:prstGeom>
                          <a:noFill/>
                          <a:ln w="9525">
                            <a:noFill/>
                            <a:miter lim="800000"/>
                            <a:headEnd/>
                            <a:tailEnd/>
                          </a:ln>
                        </pic:spPr>
                      </pic:pic>
                    </a:graphicData>
                  </a:graphic>
                </wp:inline>
              </w:drawing>
            </w:r>
          </w:p>
        </w:tc>
      </w:tr>
      <w:tr w:rsidR="00475B03" w:rsidRPr="00C74AEB">
        <w:trPr>
          <w:tblCellSpacing w:w="0" w:type="dxa"/>
          <w:jc w:val="center"/>
        </w:trPr>
        <w:tc>
          <w:tcPr>
            <w:tcW w:w="0" w:type="auto"/>
            <w:vAlign w:val="center"/>
            <w:hideMark/>
          </w:tcPr>
          <w:p w:rsidR="00475B03" w:rsidRPr="00C74AEB" w:rsidRDefault="00475B03" w:rsidP="00475B03">
            <w:pPr>
              <w:spacing w:after="0"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(E) Drupe of </w:t>
            </w:r>
            <w:r w:rsidRPr="00C74AEB">
              <w:rPr>
                <w:rFonts w:asciiTheme="majorBidi" w:eastAsia="Times New Roman" w:hAnsiTheme="majorBidi" w:cstheme="majorBidi"/>
                <w:i/>
                <w:iCs/>
                <w:sz w:val="28"/>
                <w:szCs w:val="28"/>
              </w:rPr>
              <w:t>Tectona grandis</w:t>
            </w:r>
            <w:r w:rsidRPr="00C74AEB">
              <w:rPr>
                <w:rFonts w:asciiTheme="majorBidi" w:eastAsia="Times New Roman" w:hAnsiTheme="majorBidi" w:cstheme="majorBidi"/>
                <w:sz w:val="28"/>
                <w:szCs w:val="28"/>
              </w:rPr>
              <w:t>. (S.K. Kamra).</w:t>
            </w:r>
          </w:p>
        </w:tc>
        <w:tc>
          <w:tcPr>
            <w:tcW w:w="0" w:type="auto"/>
            <w:vAlign w:val="center"/>
            <w:hideMark/>
          </w:tcPr>
          <w:p w:rsidR="00475B03" w:rsidRPr="00C74AEB" w:rsidRDefault="00475B03" w:rsidP="00475B03">
            <w:pPr>
              <w:spacing w:after="0"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(F) Cone of </w:t>
            </w:r>
            <w:r w:rsidRPr="00C74AEB">
              <w:rPr>
                <w:rFonts w:asciiTheme="majorBidi" w:eastAsia="Times New Roman" w:hAnsiTheme="majorBidi" w:cstheme="majorBidi"/>
                <w:i/>
                <w:iCs/>
                <w:sz w:val="28"/>
                <w:szCs w:val="28"/>
              </w:rPr>
              <w:t>Pinus oocarpa</w:t>
            </w:r>
            <w:r w:rsidRPr="00C74AEB">
              <w:rPr>
                <w:rFonts w:asciiTheme="majorBidi" w:eastAsia="Times New Roman" w:hAnsiTheme="majorBidi" w:cstheme="majorBidi"/>
                <w:sz w:val="28"/>
                <w:szCs w:val="28"/>
              </w:rPr>
              <w:t>. (A.M.J. Robbins)</w:t>
            </w:r>
          </w:p>
        </w:tc>
      </w:tr>
    </w:tbl>
    <w:p w:rsidR="00475B03" w:rsidRPr="00C74AEB" w:rsidRDefault="00475B03" w:rsidP="00475B03">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The nucellus may persist in some genera as a thin layer - the perisperm -lying inside the seedcoat and supplying food reserves to the embryo. In most angiosperms, however, it soon disappears and its function is taken over by the endosperm.</w:t>
      </w:r>
    </w:p>
    <w:p w:rsidR="00475B03" w:rsidRPr="00C74AEB" w:rsidRDefault="00475B03" w:rsidP="00475B03">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The endosperm commonly grows more rapidly than the embryo during the period immediately after fertilization. It accumulates reserves of food and its fullest development is rich in carbohydrates, fats, proteins and growth hormones (Kozlowski 1971). In some species the endosperm remains conspicuous and still fills a greater part of the seed than the embryo even when the seed is ripe. In others, such as </w:t>
      </w:r>
      <w:r w:rsidRPr="00C74AEB">
        <w:rPr>
          <w:rFonts w:asciiTheme="majorBidi" w:eastAsia="Times New Roman" w:hAnsiTheme="majorBidi" w:cstheme="majorBidi"/>
          <w:sz w:val="28"/>
          <w:szCs w:val="28"/>
          <w:u w:val="single"/>
        </w:rPr>
        <w:t>Tectona</w:t>
      </w:r>
      <w:r w:rsidRPr="00C74AEB">
        <w:rPr>
          <w:rFonts w:asciiTheme="majorBidi" w:eastAsia="Times New Roman" w:hAnsiTheme="majorBidi" w:cstheme="majorBidi"/>
          <w:sz w:val="28"/>
          <w:szCs w:val="28"/>
        </w:rPr>
        <w:t>, the embryo absorbs food reserves from the endosperm during its later stages of development, until the endosperm disappears by the time the seed is mature.</w:t>
      </w:r>
    </w:p>
    <w:p w:rsidR="00475B03" w:rsidRPr="00C74AEB" w:rsidRDefault="00475B03" w:rsidP="00475B03">
      <w:pPr>
        <w:numPr>
          <w:ilvl w:val="0"/>
          <w:numId w:val="2"/>
        </w:num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The embryo occupies the central part of the seed. Its degree of development at the time the seed is ripe varies greatly according to species. In some it is possible to distinguish all parts of the rudimentary plant - the radicle which at germination will give rise to the primary root, the seed leaves or cotyledons, the plumule from which will develop the primary shoot, and the hypocotyl which connects the cotyledons with the radicle. If the embryo absorbs all the food reserves from the endosperm, the thick fleshy cotyledons commonly become the main organs for food storage and occupy almost the whole of the seed cavity.</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Although the storage function within the embryo is normally performed by the cotyledons, in </w:t>
      </w:r>
      <w:r w:rsidRPr="00C74AEB">
        <w:rPr>
          <w:rFonts w:asciiTheme="majorBidi" w:eastAsia="Times New Roman" w:hAnsiTheme="majorBidi" w:cstheme="majorBidi"/>
          <w:sz w:val="28"/>
          <w:szCs w:val="28"/>
          <w:u w:val="single"/>
        </w:rPr>
        <w:t>Anisophyllea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Barringtonia</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Garcinia</w:t>
      </w:r>
      <w:r w:rsidRPr="00C74AEB">
        <w:rPr>
          <w:rFonts w:asciiTheme="majorBidi" w:eastAsia="Times New Roman" w:hAnsiTheme="majorBidi" w:cstheme="majorBidi"/>
          <w:sz w:val="28"/>
          <w:szCs w:val="28"/>
        </w:rPr>
        <w:t xml:space="preserve"> it is completely taken over by the swollen hypocotyl which fills the seed cavity; the cotyledons are vestigial or </w:t>
      </w:r>
      <w:r w:rsidRPr="00C74AEB">
        <w:rPr>
          <w:rFonts w:asciiTheme="majorBidi" w:eastAsia="Times New Roman" w:hAnsiTheme="majorBidi" w:cstheme="majorBidi"/>
          <w:sz w:val="28"/>
          <w:szCs w:val="28"/>
        </w:rPr>
        <w:lastRenderedPageBreak/>
        <w:t xml:space="preserve">absent (Ng 1978). This is also the case in </w:t>
      </w:r>
      <w:r w:rsidRPr="00C74AEB">
        <w:rPr>
          <w:rFonts w:asciiTheme="majorBidi" w:eastAsia="Times New Roman" w:hAnsiTheme="majorBidi" w:cstheme="majorBidi"/>
          <w:sz w:val="28"/>
          <w:szCs w:val="28"/>
          <w:u w:val="single"/>
        </w:rPr>
        <w:t>Lecythis</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Bertholletia</w:t>
      </w:r>
      <w:r w:rsidRPr="00C74AEB">
        <w:rPr>
          <w:rFonts w:asciiTheme="majorBidi" w:eastAsia="Times New Roman" w:hAnsiTheme="majorBidi" w:cstheme="majorBidi"/>
          <w:sz w:val="28"/>
          <w:szCs w:val="28"/>
        </w:rPr>
        <w:t xml:space="preserve"> (Lubbock 1892), hence the edible content of a Brazil nut (</w:t>
      </w:r>
      <w:r w:rsidRPr="00C74AEB">
        <w:rPr>
          <w:rFonts w:asciiTheme="majorBidi" w:eastAsia="Times New Roman" w:hAnsiTheme="majorBidi" w:cstheme="majorBidi"/>
          <w:sz w:val="28"/>
          <w:szCs w:val="28"/>
          <w:u w:val="single"/>
        </w:rPr>
        <w:t>Bertholletia excelsa</w:t>
      </w:r>
      <w:r w:rsidRPr="00C74AEB">
        <w:rPr>
          <w:rFonts w:asciiTheme="majorBidi" w:eastAsia="Times New Roman" w:hAnsiTheme="majorBidi" w:cstheme="majorBidi"/>
          <w:sz w:val="28"/>
          <w:szCs w:val="28"/>
        </w:rPr>
        <w:t>) is neither endosperm nor cotyledon but hypocotyl.</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In some species the embryo is still small and undeveloped when the seed is ready for dispersal, and an additional period under suitable environmental conditions is needed for maturation of the embryo after seed shed, before the seed can become capable of germination, e.g. </w:t>
      </w:r>
      <w:r w:rsidRPr="00C74AEB">
        <w:rPr>
          <w:rFonts w:asciiTheme="majorBidi" w:eastAsia="Times New Roman" w:hAnsiTheme="majorBidi" w:cstheme="majorBidi"/>
          <w:sz w:val="28"/>
          <w:szCs w:val="28"/>
          <w:u w:val="single"/>
        </w:rPr>
        <w:t>Fraxinus excelsior</w:t>
      </w:r>
      <w:r w:rsidRPr="00C74AEB">
        <w:rPr>
          <w:rFonts w:asciiTheme="majorBidi" w:eastAsia="Times New Roman" w:hAnsiTheme="majorBidi" w:cstheme="majorBidi"/>
          <w:sz w:val="28"/>
          <w:szCs w:val="28"/>
        </w:rPr>
        <w:t>.</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At its most complex the ripe seed may thus consist of diploid tissue from the mother tree (the seedcoat, including testa and tegmen, and the perisperm), triploid tissue in the endosperm, and diploid tissue of the new genetic combination in the embryo offspring. But both perisperm (nearly always) and endosperm (not infrequently) may be missing. The essential constituents of </w:t>
      </w:r>
      <w:r w:rsidRPr="00C74AEB">
        <w:rPr>
          <w:rFonts w:asciiTheme="majorBidi" w:eastAsia="Times New Roman" w:hAnsiTheme="majorBidi" w:cstheme="majorBidi"/>
          <w:sz w:val="28"/>
          <w:szCs w:val="28"/>
          <w:u w:val="single"/>
        </w:rPr>
        <w:t>all</w:t>
      </w:r>
      <w:r w:rsidRPr="00C74AEB">
        <w:rPr>
          <w:rFonts w:asciiTheme="majorBidi" w:eastAsia="Times New Roman" w:hAnsiTheme="majorBidi" w:cstheme="majorBidi"/>
          <w:sz w:val="28"/>
          <w:szCs w:val="28"/>
        </w:rPr>
        <w:t xml:space="preserve"> seeds are the embryo, the protective covering of the seedcoat and a reserve of food substances which may be stored in the cotyledons, hypocotyl, endosperm or perisperm.</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Occasionally more than one embryo may develop in a single seed and such polyembryony has been reported from several genera (Kozlowski 1971). It is, however, the exception.</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7" w:name="ch2.4"/>
      <w:r w:rsidRPr="00C74AEB">
        <w:rPr>
          <w:rFonts w:asciiTheme="majorBidi" w:eastAsia="Times New Roman" w:hAnsiTheme="majorBidi" w:cstheme="majorBidi"/>
          <w:b/>
          <w:bCs/>
          <w:color w:val="D03724"/>
          <w:sz w:val="28"/>
          <w:szCs w:val="28"/>
          <w:u w:val="single"/>
        </w:rPr>
        <w:t>Angiosperm Fruit Development</w:t>
      </w:r>
      <w:bookmarkEnd w:id="7"/>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Development of the fertilized seed is normally accompanied by development of the fruit. In the simplest case the ovary wall becomes thickened to form the pericarp. This may be:</w:t>
      </w:r>
    </w:p>
    <w:p w:rsidR="00475B03" w:rsidRPr="00C74AEB" w:rsidRDefault="00475B03" w:rsidP="00475B03">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Dehiscent, splitting open when ripe to release the enclosed seeds; examples are the </w:t>
      </w:r>
      <w:r w:rsidRPr="00C74AEB">
        <w:rPr>
          <w:rFonts w:asciiTheme="majorBidi" w:eastAsia="Times New Roman" w:hAnsiTheme="majorBidi" w:cstheme="majorBidi"/>
          <w:sz w:val="28"/>
          <w:szCs w:val="28"/>
          <w:u w:val="single"/>
        </w:rPr>
        <w:t>capsule</w:t>
      </w:r>
      <w:r w:rsidRPr="00C74AEB">
        <w:rPr>
          <w:rFonts w:asciiTheme="majorBidi" w:eastAsia="Times New Roman" w:hAnsiTheme="majorBidi" w:cstheme="majorBidi"/>
          <w:sz w:val="28"/>
          <w:szCs w:val="28"/>
        </w:rPr>
        <w:t xml:space="preserve"> (e.g. </w:t>
      </w:r>
      <w:r w:rsidRPr="00C74AEB">
        <w:rPr>
          <w:rFonts w:asciiTheme="majorBidi" w:eastAsia="Times New Roman" w:hAnsiTheme="majorBidi" w:cstheme="majorBidi"/>
          <w:sz w:val="28"/>
          <w:szCs w:val="28"/>
          <w:u w:val="single"/>
        </w:rPr>
        <w:t>Eucalyptus</w:t>
      </w:r>
      <w:r w:rsidRPr="00C74AEB">
        <w:rPr>
          <w:rFonts w:asciiTheme="majorBidi" w:eastAsia="Times New Roman" w:hAnsiTheme="majorBidi" w:cstheme="majorBidi"/>
          <w:sz w:val="28"/>
          <w:szCs w:val="28"/>
        </w:rPr>
        <w:t xml:space="preserve">), a multilocular fruit derived from a syncarpous ovary, and the leguminous </w:t>
      </w:r>
      <w:r w:rsidRPr="00C74AEB">
        <w:rPr>
          <w:rFonts w:asciiTheme="majorBidi" w:eastAsia="Times New Roman" w:hAnsiTheme="majorBidi" w:cstheme="majorBidi"/>
          <w:sz w:val="28"/>
          <w:szCs w:val="28"/>
          <w:u w:val="single"/>
        </w:rPr>
        <w:t>pod</w:t>
      </w:r>
      <w:r w:rsidRPr="00C74AEB">
        <w:rPr>
          <w:rFonts w:asciiTheme="majorBidi" w:eastAsia="Times New Roman" w:hAnsiTheme="majorBidi" w:cstheme="majorBidi"/>
          <w:sz w:val="28"/>
          <w:szCs w:val="28"/>
        </w:rPr>
        <w:t xml:space="preserve"> (e.g. </w:t>
      </w:r>
      <w:r w:rsidRPr="00C74AEB">
        <w:rPr>
          <w:rFonts w:asciiTheme="majorBidi" w:eastAsia="Times New Roman" w:hAnsiTheme="majorBidi" w:cstheme="majorBidi"/>
          <w:sz w:val="28"/>
          <w:szCs w:val="28"/>
          <w:u w:val="single"/>
        </w:rPr>
        <w:t>Cassia</w:t>
      </w:r>
      <w:r w:rsidRPr="00C74AEB">
        <w:rPr>
          <w:rFonts w:asciiTheme="majorBidi" w:eastAsia="Times New Roman" w:hAnsiTheme="majorBidi" w:cstheme="majorBidi"/>
          <w:sz w:val="28"/>
          <w:szCs w:val="28"/>
        </w:rPr>
        <w:t xml:space="preserve">), which is derived from a single carpel and spilts along two sutures. The pericarp may be dry, semi-fleshy or fleshy at the time of dehiscence. Semi-fleshy to fleshy capsules are common in the humid tropics (e.g. </w:t>
      </w:r>
      <w:r w:rsidRPr="00C74AEB">
        <w:rPr>
          <w:rFonts w:asciiTheme="majorBidi" w:eastAsia="Times New Roman" w:hAnsiTheme="majorBidi" w:cstheme="majorBidi"/>
          <w:sz w:val="28"/>
          <w:szCs w:val="28"/>
          <w:u w:val="single"/>
        </w:rPr>
        <w:t>Baccaurea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Durio</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Dysoxylum</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Myristica</w:t>
      </w:r>
      <w:r w:rsidRPr="00C74AEB">
        <w:rPr>
          <w:rFonts w:asciiTheme="majorBidi" w:eastAsia="Times New Roman" w:hAnsiTheme="majorBidi" w:cstheme="majorBidi"/>
          <w:sz w:val="28"/>
          <w:szCs w:val="28"/>
        </w:rPr>
        <w:t>) and are often associated with the development of variously coloured, tasty or smelly pulp (aril or sarcotesta) around the seed.</w:t>
      </w:r>
    </w:p>
    <w:p w:rsidR="00475B03" w:rsidRPr="00C74AEB" w:rsidRDefault="00475B03" w:rsidP="00475B03">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Indehiscent or dry, closely fused with the seed; examples are the </w:t>
      </w:r>
      <w:r w:rsidRPr="00C74AEB">
        <w:rPr>
          <w:rFonts w:asciiTheme="majorBidi" w:eastAsia="Times New Roman" w:hAnsiTheme="majorBidi" w:cstheme="majorBidi"/>
          <w:sz w:val="28"/>
          <w:szCs w:val="28"/>
          <w:u w:val="single"/>
        </w:rPr>
        <w:t>achene</w:t>
      </w:r>
      <w:r w:rsidRPr="00C74AEB">
        <w:rPr>
          <w:rFonts w:asciiTheme="majorBidi" w:eastAsia="Times New Roman" w:hAnsiTheme="majorBidi" w:cstheme="majorBidi"/>
          <w:sz w:val="28"/>
          <w:szCs w:val="28"/>
        </w:rPr>
        <w:t xml:space="preserve">, a small hard one-seeded fruit with membranous pericarp, the </w:t>
      </w:r>
      <w:r w:rsidRPr="00C74AEB">
        <w:rPr>
          <w:rFonts w:asciiTheme="majorBidi" w:eastAsia="Times New Roman" w:hAnsiTheme="majorBidi" w:cstheme="majorBidi"/>
          <w:sz w:val="28"/>
          <w:szCs w:val="28"/>
          <w:u w:val="single"/>
        </w:rPr>
        <w:t>samara</w:t>
      </w:r>
      <w:r w:rsidRPr="00C74AEB">
        <w:rPr>
          <w:rFonts w:asciiTheme="majorBidi" w:eastAsia="Times New Roman" w:hAnsiTheme="majorBidi" w:cstheme="majorBidi"/>
          <w:sz w:val="28"/>
          <w:szCs w:val="28"/>
        </w:rPr>
        <w:t xml:space="preserve">, similar to the achene but with pericarp extended to form a wing (e.g. </w:t>
      </w:r>
      <w:r w:rsidRPr="00C74AEB">
        <w:rPr>
          <w:rFonts w:asciiTheme="majorBidi" w:eastAsia="Times New Roman" w:hAnsiTheme="majorBidi" w:cstheme="majorBidi"/>
          <w:sz w:val="28"/>
          <w:szCs w:val="28"/>
          <w:u w:val="single"/>
        </w:rPr>
        <w:t>Triplochiton</w:t>
      </w:r>
      <w:r w:rsidRPr="00C74AEB">
        <w:rPr>
          <w:rFonts w:asciiTheme="majorBidi" w:eastAsia="Times New Roman" w:hAnsiTheme="majorBidi" w:cstheme="majorBidi"/>
          <w:sz w:val="28"/>
          <w:szCs w:val="28"/>
        </w:rPr>
        <w:t xml:space="preserve">) and the </w:t>
      </w:r>
      <w:r w:rsidRPr="00C74AEB">
        <w:rPr>
          <w:rFonts w:asciiTheme="majorBidi" w:eastAsia="Times New Roman" w:hAnsiTheme="majorBidi" w:cstheme="majorBidi"/>
          <w:sz w:val="28"/>
          <w:szCs w:val="28"/>
          <w:u w:val="single"/>
        </w:rPr>
        <w:t>nut</w:t>
      </w:r>
      <w:r w:rsidRPr="00C74AEB">
        <w:rPr>
          <w:rFonts w:asciiTheme="majorBidi" w:eastAsia="Times New Roman" w:hAnsiTheme="majorBidi" w:cstheme="majorBidi"/>
          <w:sz w:val="28"/>
          <w:szCs w:val="28"/>
        </w:rPr>
        <w:t xml:space="preserve">, a rather large one-seeded fruit with woody or leathery pericarp (e.g. </w:t>
      </w:r>
      <w:r w:rsidRPr="00C74AEB">
        <w:rPr>
          <w:rFonts w:asciiTheme="majorBidi" w:eastAsia="Times New Roman" w:hAnsiTheme="majorBidi" w:cstheme="majorBidi"/>
          <w:sz w:val="28"/>
          <w:szCs w:val="28"/>
          <w:u w:val="single"/>
        </w:rPr>
        <w:t>Shorea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Quercus</w:t>
      </w:r>
      <w:r w:rsidRPr="00C74AEB">
        <w:rPr>
          <w:rFonts w:asciiTheme="majorBidi" w:eastAsia="Times New Roman" w:hAnsiTheme="majorBidi" w:cstheme="majorBidi"/>
          <w:sz w:val="28"/>
          <w:szCs w:val="28"/>
        </w:rPr>
        <w:t>).</w:t>
      </w:r>
    </w:p>
    <w:p w:rsidR="00475B03" w:rsidRPr="00C74AEB" w:rsidRDefault="00475B03" w:rsidP="00475B03">
      <w:pPr>
        <w:numPr>
          <w:ilvl w:val="0"/>
          <w:numId w:val="3"/>
        </w:num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lastRenderedPageBreak/>
        <w:t xml:space="preserve">Indehiscent and fleshy, often distinguished by colour, smell and taste to attract fruit-eating birds and animals. Two types are distinguished. The </w:t>
      </w:r>
      <w:r w:rsidRPr="00C74AEB">
        <w:rPr>
          <w:rFonts w:asciiTheme="majorBidi" w:eastAsia="Times New Roman" w:hAnsiTheme="majorBidi" w:cstheme="majorBidi"/>
          <w:sz w:val="28"/>
          <w:szCs w:val="28"/>
          <w:u w:val="single"/>
        </w:rPr>
        <w:t>berry</w:t>
      </w:r>
      <w:r w:rsidRPr="00C74AEB">
        <w:rPr>
          <w:rFonts w:asciiTheme="majorBidi" w:eastAsia="Times New Roman" w:hAnsiTheme="majorBidi" w:cstheme="majorBidi"/>
          <w:sz w:val="28"/>
          <w:szCs w:val="28"/>
        </w:rPr>
        <w:t xml:space="preserve"> has an outer skin and inner fleshy mass, containing seeds that have a hardened seedcoat (e.g. </w:t>
      </w:r>
      <w:r w:rsidRPr="00C74AEB">
        <w:rPr>
          <w:rFonts w:asciiTheme="majorBidi" w:eastAsia="Times New Roman" w:hAnsiTheme="majorBidi" w:cstheme="majorBidi"/>
          <w:sz w:val="28"/>
          <w:szCs w:val="28"/>
          <w:u w:val="single"/>
        </w:rPr>
        <w:t>Diospyros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Pouteria</w:t>
      </w:r>
      <w:r w:rsidRPr="00C74AEB">
        <w:rPr>
          <w:rFonts w:asciiTheme="majorBidi" w:eastAsia="Times New Roman" w:hAnsiTheme="majorBidi" w:cstheme="majorBidi"/>
          <w:sz w:val="28"/>
          <w:szCs w:val="28"/>
        </w:rPr>
        <w:t xml:space="preserve">). The </w:t>
      </w:r>
      <w:r w:rsidRPr="00C74AEB">
        <w:rPr>
          <w:rFonts w:asciiTheme="majorBidi" w:eastAsia="Times New Roman" w:hAnsiTheme="majorBidi" w:cstheme="majorBidi"/>
          <w:sz w:val="28"/>
          <w:szCs w:val="28"/>
          <w:u w:val="single"/>
        </w:rPr>
        <w:t>drupe</w:t>
      </w:r>
      <w:r w:rsidRPr="00C74AEB">
        <w:rPr>
          <w:rFonts w:asciiTheme="majorBidi" w:eastAsia="Times New Roman" w:hAnsiTheme="majorBidi" w:cstheme="majorBidi"/>
          <w:sz w:val="28"/>
          <w:szCs w:val="28"/>
        </w:rPr>
        <w:t xml:space="preserve"> has the inner layer of the pericarp hardened to protect the seeds (e.g. </w:t>
      </w:r>
      <w:r w:rsidRPr="00C74AEB">
        <w:rPr>
          <w:rFonts w:asciiTheme="majorBidi" w:eastAsia="Times New Roman" w:hAnsiTheme="majorBidi" w:cstheme="majorBidi"/>
          <w:sz w:val="28"/>
          <w:szCs w:val="28"/>
          <w:u w:val="single"/>
        </w:rPr>
        <w:t>Prunus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Gmelina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Azadirachta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Mangifera</w:t>
      </w:r>
      <w:r w:rsidRPr="00C74AEB">
        <w:rPr>
          <w:rFonts w:asciiTheme="majorBidi" w:eastAsia="Times New Roman" w:hAnsiTheme="majorBidi" w:cstheme="majorBidi"/>
          <w:sz w:val="28"/>
          <w:szCs w:val="28"/>
        </w:rPr>
        <w:t xml:space="preserve">); the seedcoat, having no protective function in a drupe, is usually papery or membraneous. The different pericarp layers in a typical drupe are known as exocarp (the skin), mesocarp (the flesh) and endocarp (the stone). The stone may be actually stony as in </w:t>
      </w:r>
      <w:r w:rsidRPr="00C74AEB">
        <w:rPr>
          <w:rFonts w:asciiTheme="majorBidi" w:eastAsia="Times New Roman" w:hAnsiTheme="majorBidi" w:cstheme="majorBidi"/>
          <w:sz w:val="28"/>
          <w:szCs w:val="28"/>
          <w:u w:val="single"/>
        </w:rPr>
        <w:t>Gmelina</w:t>
      </w:r>
      <w:r w:rsidRPr="00C74AEB">
        <w:rPr>
          <w:rFonts w:asciiTheme="majorBidi" w:eastAsia="Times New Roman" w:hAnsiTheme="majorBidi" w:cstheme="majorBidi"/>
          <w:sz w:val="28"/>
          <w:szCs w:val="28"/>
        </w:rPr>
        <w:t xml:space="preserve"> or leathery as in </w:t>
      </w:r>
      <w:r w:rsidRPr="00C74AEB">
        <w:rPr>
          <w:rFonts w:asciiTheme="majorBidi" w:eastAsia="Times New Roman" w:hAnsiTheme="majorBidi" w:cstheme="majorBidi"/>
          <w:sz w:val="28"/>
          <w:szCs w:val="28"/>
          <w:u w:val="single"/>
        </w:rPr>
        <w:t>Mangifera</w:t>
      </w:r>
      <w:r w:rsidRPr="00C74AEB">
        <w:rPr>
          <w:rFonts w:asciiTheme="majorBidi" w:eastAsia="Times New Roman" w:hAnsiTheme="majorBidi" w:cstheme="majorBidi"/>
          <w:sz w:val="28"/>
          <w:szCs w:val="28"/>
        </w:rPr>
        <w:t>.</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In some species other parts of the flower, as well as the ovary wall, take part in fruit formation. An example is the pome, found in apples and pears, in which the enlarged fleshy receptacle forms the greater part of the fruit, while the pericarp forms the core. An additional partial or entire protective covering may be provided by fused bracts arising below the flower - the involucre. This may be papery, as in </w:t>
      </w:r>
      <w:r w:rsidRPr="00C74AEB">
        <w:rPr>
          <w:rFonts w:asciiTheme="majorBidi" w:eastAsia="Times New Roman" w:hAnsiTheme="majorBidi" w:cstheme="majorBidi"/>
          <w:sz w:val="28"/>
          <w:szCs w:val="28"/>
          <w:u w:val="single"/>
        </w:rPr>
        <w:t>Tectona</w:t>
      </w:r>
      <w:r w:rsidRPr="00C74AEB">
        <w:rPr>
          <w:rFonts w:asciiTheme="majorBidi" w:eastAsia="Times New Roman" w:hAnsiTheme="majorBidi" w:cstheme="majorBidi"/>
          <w:sz w:val="28"/>
          <w:szCs w:val="28"/>
        </w:rPr>
        <w:t xml:space="preserve">, or thicker and leathery as in the “acorn cup” of </w:t>
      </w:r>
      <w:r w:rsidRPr="00C74AEB">
        <w:rPr>
          <w:rFonts w:asciiTheme="majorBidi" w:eastAsia="Times New Roman" w:hAnsiTheme="majorBidi" w:cstheme="majorBidi"/>
          <w:sz w:val="28"/>
          <w:szCs w:val="28"/>
          <w:u w:val="single"/>
        </w:rPr>
        <w:t>Quercus</w:t>
      </w:r>
      <w:r w:rsidRPr="00C74AEB">
        <w:rPr>
          <w:rFonts w:asciiTheme="majorBidi" w:eastAsia="Times New Roman" w:hAnsiTheme="majorBidi" w:cstheme="majorBidi"/>
          <w:sz w:val="28"/>
          <w:szCs w:val="28"/>
        </w:rPr>
        <w:t xml:space="preserve">. Some fruits are formed by the coalescing of an entire inflorescence e.g. </w:t>
      </w:r>
      <w:r w:rsidRPr="00C74AEB">
        <w:rPr>
          <w:rFonts w:asciiTheme="majorBidi" w:eastAsia="Times New Roman" w:hAnsiTheme="majorBidi" w:cstheme="majorBidi"/>
          <w:sz w:val="28"/>
          <w:szCs w:val="28"/>
          <w:u w:val="single"/>
        </w:rPr>
        <w:t>Morus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Chlorophora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Anthocephalus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Artocarpus</w:t>
      </w:r>
      <w:r w:rsidRPr="00C74AEB">
        <w:rPr>
          <w:rFonts w:asciiTheme="majorBidi" w:eastAsia="Times New Roman" w:hAnsiTheme="majorBidi" w:cstheme="majorBidi"/>
          <w:sz w:val="28"/>
          <w:szCs w:val="28"/>
        </w:rPr>
        <w:t>.</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At the opposite extreme, in several genera of the </w:t>
      </w:r>
      <w:r w:rsidRPr="00C74AEB">
        <w:rPr>
          <w:rFonts w:asciiTheme="majorBidi" w:eastAsia="Times New Roman" w:hAnsiTheme="majorBidi" w:cstheme="majorBidi"/>
          <w:sz w:val="28"/>
          <w:szCs w:val="28"/>
          <w:u w:val="single"/>
        </w:rPr>
        <w:t>Sterculiaceae</w:t>
      </w:r>
      <w:r w:rsidRPr="00C74AEB">
        <w:rPr>
          <w:rFonts w:asciiTheme="majorBidi" w:eastAsia="Times New Roman" w:hAnsiTheme="majorBidi" w:cstheme="majorBidi"/>
          <w:sz w:val="28"/>
          <w:szCs w:val="28"/>
        </w:rPr>
        <w:t xml:space="preserve"> (e.g. </w:t>
      </w:r>
      <w:r w:rsidRPr="00C74AEB">
        <w:rPr>
          <w:rFonts w:asciiTheme="majorBidi" w:eastAsia="Times New Roman" w:hAnsiTheme="majorBidi" w:cstheme="majorBidi"/>
          <w:sz w:val="28"/>
          <w:szCs w:val="28"/>
          <w:u w:val="single"/>
        </w:rPr>
        <w:t>Fimiana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Pterocymbium</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Scaphium</w:t>
      </w:r>
      <w:r w:rsidRPr="00C74AEB">
        <w:rPr>
          <w:rFonts w:asciiTheme="majorBidi" w:eastAsia="Times New Roman" w:hAnsiTheme="majorBidi" w:cstheme="majorBidi"/>
          <w:sz w:val="28"/>
          <w:szCs w:val="28"/>
        </w:rPr>
        <w:t>), fruit formation does not occur at all in the normal angiospermous manner. Soon after fertilization, the carpel (follicle) splits on one side and develops into a large membraneous scale-like or boat-shaped wing; the fertilized ovule develops in a naked position at or near the base of the open carpel, in a gymnospermous manner. Such fruits must be the most primitive of all angiosperm fruits (Corner 1976). At maturity the seeds are dispersed, attached to their carpels which now behave as wings.</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The interval between flowering and maturation of seeds and fruits varies greatly with species, even within the same genus. In </w:t>
      </w:r>
      <w:r w:rsidRPr="00C74AEB">
        <w:rPr>
          <w:rFonts w:asciiTheme="majorBidi" w:eastAsia="Times New Roman" w:hAnsiTheme="majorBidi" w:cstheme="majorBidi"/>
          <w:sz w:val="28"/>
          <w:szCs w:val="28"/>
          <w:u w:val="single"/>
        </w:rPr>
        <w:t>Eucalyptus</w:t>
      </w:r>
      <w:r w:rsidRPr="00C74AEB">
        <w:rPr>
          <w:rFonts w:asciiTheme="majorBidi" w:eastAsia="Times New Roman" w:hAnsiTheme="majorBidi" w:cstheme="majorBidi"/>
          <w:sz w:val="28"/>
          <w:szCs w:val="28"/>
        </w:rPr>
        <w:t xml:space="preserve"> it varies from one month in </w:t>
      </w:r>
      <w:r w:rsidRPr="00C74AEB">
        <w:rPr>
          <w:rFonts w:asciiTheme="majorBidi" w:eastAsia="Times New Roman" w:hAnsiTheme="majorBidi" w:cstheme="majorBidi"/>
          <w:sz w:val="28"/>
          <w:szCs w:val="28"/>
          <w:u w:val="single"/>
        </w:rPr>
        <w:t>E. brachyandra</w:t>
      </w:r>
      <w:r w:rsidRPr="00C74AEB">
        <w:rPr>
          <w:rFonts w:asciiTheme="majorBidi" w:eastAsia="Times New Roman" w:hAnsiTheme="majorBidi" w:cstheme="majorBidi"/>
          <w:sz w:val="28"/>
          <w:szCs w:val="28"/>
        </w:rPr>
        <w:t xml:space="preserve"> to 10 – 16 months in </w:t>
      </w:r>
      <w:r w:rsidRPr="00C74AEB">
        <w:rPr>
          <w:rFonts w:asciiTheme="majorBidi" w:eastAsia="Times New Roman" w:hAnsiTheme="majorBidi" w:cstheme="majorBidi"/>
          <w:sz w:val="28"/>
          <w:szCs w:val="28"/>
          <w:u w:val="single"/>
        </w:rPr>
        <w:t>E. diversicolor</w:t>
      </w:r>
      <w:r w:rsidRPr="00C74AEB">
        <w:rPr>
          <w:rFonts w:asciiTheme="majorBidi" w:eastAsia="Times New Roman" w:hAnsiTheme="majorBidi" w:cstheme="majorBidi"/>
          <w:sz w:val="28"/>
          <w:szCs w:val="28"/>
        </w:rPr>
        <w:t xml:space="preserve"> (Boland et al. 1980). In most Malaysian Dipterocarps it is between two and five months (Tamari 1976). In </w:t>
      </w:r>
      <w:r w:rsidRPr="00C74AEB">
        <w:rPr>
          <w:rFonts w:asciiTheme="majorBidi" w:eastAsia="Times New Roman" w:hAnsiTheme="majorBidi" w:cstheme="majorBidi"/>
          <w:sz w:val="28"/>
          <w:szCs w:val="28"/>
          <w:u w:val="single"/>
        </w:rPr>
        <w:t>Tectona grandis</w:t>
      </w:r>
      <w:r w:rsidRPr="00C74AEB">
        <w:rPr>
          <w:rFonts w:asciiTheme="majorBidi" w:eastAsia="Times New Roman" w:hAnsiTheme="majorBidi" w:cstheme="majorBidi"/>
          <w:sz w:val="28"/>
          <w:szCs w:val="28"/>
        </w:rPr>
        <w:t xml:space="preserve"> it takes 50 days from flowering for the green fruits to develop to full size but 120 – 200 days before they are fully ripe (Hedegart 1975). In a study of rooted cuttings of </w:t>
      </w:r>
      <w:r w:rsidRPr="00C74AEB">
        <w:rPr>
          <w:rFonts w:asciiTheme="majorBidi" w:eastAsia="Times New Roman" w:hAnsiTheme="majorBidi" w:cstheme="majorBidi"/>
          <w:sz w:val="28"/>
          <w:szCs w:val="28"/>
          <w:u w:val="single"/>
        </w:rPr>
        <w:t>Gmelina arborea</w:t>
      </w:r>
      <w:r w:rsidRPr="00C74AEB">
        <w:rPr>
          <w:rFonts w:asciiTheme="majorBidi" w:eastAsia="Times New Roman" w:hAnsiTheme="majorBidi" w:cstheme="majorBidi"/>
          <w:sz w:val="28"/>
          <w:szCs w:val="28"/>
        </w:rPr>
        <w:t xml:space="preserve"> in pots in Nigeria, individual flowers took 11 days from flower bud to opening and 45 days from flower bud to ripe fruits (Okoro 1978). In </w:t>
      </w:r>
      <w:r w:rsidRPr="00C74AEB">
        <w:rPr>
          <w:rFonts w:asciiTheme="majorBidi" w:eastAsia="Times New Roman" w:hAnsiTheme="majorBidi" w:cstheme="majorBidi"/>
          <w:sz w:val="28"/>
          <w:szCs w:val="28"/>
          <w:u w:val="single"/>
        </w:rPr>
        <w:t>Pterocarpus angolensis</w:t>
      </w:r>
      <w:r w:rsidRPr="00C74AEB">
        <w:rPr>
          <w:rFonts w:asciiTheme="majorBidi" w:eastAsia="Times New Roman" w:hAnsiTheme="majorBidi" w:cstheme="majorBidi"/>
          <w:sz w:val="28"/>
          <w:szCs w:val="28"/>
        </w:rPr>
        <w:t xml:space="preserve"> the interval between flowering and fruit maturation is 8 months (Boaler 1966). The shortest interval on record between flowering and seed maturation for a tropical timber species is apparently 3 weeks, </w:t>
      </w:r>
      <w:r w:rsidRPr="00C74AEB">
        <w:rPr>
          <w:rFonts w:asciiTheme="majorBidi" w:eastAsia="Times New Roman" w:hAnsiTheme="majorBidi" w:cstheme="majorBidi"/>
          <w:sz w:val="28"/>
          <w:szCs w:val="28"/>
        </w:rPr>
        <w:lastRenderedPageBreak/>
        <w:t xml:space="preserve">for </w:t>
      </w:r>
      <w:r w:rsidRPr="00C74AEB">
        <w:rPr>
          <w:rFonts w:asciiTheme="majorBidi" w:eastAsia="Times New Roman" w:hAnsiTheme="majorBidi" w:cstheme="majorBidi"/>
          <w:sz w:val="28"/>
          <w:szCs w:val="28"/>
          <w:u w:val="single"/>
        </w:rPr>
        <w:t>Pterocymbium javanicum</w:t>
      </w:r>
      <w:r w:rsidRPr="00C74AEB">
        <w:rPr>
          <w:rFonts w:asciiTheme="majorBidi" w:eastAsia="Times New Roman" w:hAnsiTheme="majorBidi" w:cstheme="majorBidi"/>
          <w:sz w:val="28"/>
          <w:szCs w:val="28"/>
        </w:rPr>
        <w:t xml:space="preserve"> (Ng and Loh 1974). In contrast, some species of temperate </w:t>
      </w:r>
      <w:r w:rsidRPr="00C74AEB">
        <w:rPr>
          <w:rFonts w:asciiTheme="majorBidi" w:eastAsia="Times New Roman" w:hAnsiTheme="majorBidi" w:cstheme="majorBidi"/>
          <w:sz w:val="28"/>
          <w:szCs w:val="28"/>
          <w:u w:val="single"/>
        </w:rPr>
        <w:t>Quercus</w:t>
      </w:r>
      <w:r w:rsidRPr="00C74AEB">
        <w:rPr>
          <w:rFonts w:asciiTheme="majorBidi" w:eastAsia="Times New Roman" w:hAnsiTheme="majorBidi" w:cstheme="majorBidi"/>
          <w:sz w:val="28"/>
          <w:szCs w:val="28"/>
        </w:rPr>
        <w:t xml:space="preserve"> take about 18 months from flowering to production of mature seeds.</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In most species fertilization of one or more ovules must precede fruit formation. In a few species, however, fruits are set and mature without seed development and without fertilization of an egg. Such fruits, called parthenocarpic fruits, occur in several genera of forest trees including </w:t>
      </w:r>
      <w:r w:rsidRPr="00C74AEB">
        <w:rPr>
          <w:rFonts w:asciiTheme="majorBidi" w:eastAsia="Times New Roman" w:hAnsiTheme="majorBidi" w:cstheme="majorBidi"/>
          <w:sz w:val="28"/>
          <w:szCs w:val="28"/>
          <w:u w:val="single"/>
        </w:rPr>
        <w:t>Acer</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Ulmus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Fraxinus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Betula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Diospyros</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Liriodendron</w:t>
      </w:r>
      <w:r w:rsidRPr="00C74AEB">
        <w:rPr>
          <w:rFonts w:asciiTheme="majorBidi" w:eastAsia="Times New Roman" w:hAnsiTheme="majorBidi" w:cstheme="majorBidi"/>
          <w:sz w:val="28"/>
          <w:szCs w:val="28"/>
        </w:rPr>
        <w:t xml:space="preserve"> (Kozlowski 1971). Mature fruits do not invariably indicate mature seed, still less can the number of sound seeds be predicted from the number of fruits. In </w:t>
      </w:r>
      <w:r w:rsidRPr="00C74AEB">
        <w:rPr>
          <w:rFonts w:asciiTheme="majorBidi" w:eastAsia="Times New Roman" w:hAnsiTheme="majorBidi" w:cstheme="majorBidi"/>
          <w:sz w:val="28"/>
          <w:szCs w:val="28"/>
          <w:u w:val="single"/>
        </w:rPr>
        <w:t>Tectona</w:t>
      </w:r>
      <w:r w:rsidRPr="00C74AEB">
        <w:rPr>
          <w:rFonts w:asciiTheme="majorBidi" w:eastAsia="Times New Roman" w:hAnsiTheme="majorBidi" w:cstheme="majorBidi"/>
          <w:sz w:val="28"/>
          <w:szCs w:val="28"/>
        </w:rPr>
        <w:t xml:space="preserve"> the number of sound seeds per fruit can vary between 0 and 4 (Kamra 1973) and still greater variation is possible in other genera.</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8" w:name="ch2.5"/>
      <w:r w:rsidRPr="00C74AEB">
        <w:rPr>
          <w:rFonts w:asciiTheme="majorBidi" w:eastAsia="Times New Roman" w:hAnsiTheme="majorBidi" w:cstheme="majorBidi"/>
          <w:b/>
          <w:bCs/>
          <w:color w:val="D03724"/>
          <w:sz w:val="28"/>
          <w:szCs w:val="28"/>
          <w:u w:val="single"/>
        </w:rPr>
        <w:t>Seed Dispersal in Angiosperms</w:t>
      </w:r>
      <w:bookmarkEnd w:id="8"/>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There is thus an immense variety among angiosperm fruits. Much of it is related to the need for seed dispersal. Survival and growth of young seedlings under the parent tree is often difficult, because of lack of light and intense root competition. Dispersal over a wide area can ensure that some seeds find conditions suitable for germination and survival, even though the vast majority will perish from the effects of harsh site conditions, competition or destruction by animals or disease.</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Dispersal by wind is assisted when the seeds are very light and small e.g. </w:t>
      </w:r>
      <w:r w:rsidRPr="00C74AEB">
        <w:rPr>
          <w:rFonts w:asciiTheme="majorBidi" w:eastAsia="Times New Roman" w:hAnsiTheme="majorBidi" w:cstheme="majorBidi"/>
          <w:sz w:val="28"/>
          <w:szCs w:val="28"/>
          <w:u w:val="single"/>
        </w:rPr>
        <w:t>Eucalyptus</w:t>
      </w:r>
      <w:r w:rsidRPr="00C74AEB">
        <w:rPr>
          <w:rFonts w:asciiTheme="majorBidi" w:eastAsia="Times New Roman" w:hAnsiTheme="majorBidi" w:cstheme="majorBidi"/>
          <w:sz w:val="28"/>
          <w:szCs w:val="28"/>
        </w:rPr>
        <w:t xml:space="preserve">, or when either the seedcoat </w:t>
      </w:r>
      <w:r w:rsidRPr="00C74AEB">
        <w:rPr>
          <w:rFonts w:asciiTheme="majorBidi" w:eastAsia="Times New Roman" w:hAnsiTheme="majorBidi" w:cstheme="majorBidi"/>
          <w:sz w:val="28"/>
          <w:szCs w:val="28"/>
          <w:u w:val="single"/>
        </w:rPr>
        <w:t>(Salix</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Ceiba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Dyera</w:t>
      </w:r>
      <w:r w:rsidRPr="00C74AEB">
        <w:rPr>
          <w:rFonts w:asciiTheme="majorBidi" w:eastAsia="Times New Roman" w:hAnsiTheme="majorBidi" w:cstheme="majorBidi"/>
          <w:sz w:val="28"/>
          <w:szCs w:val="28"/>
        </w:rPr>
        <w:t xml:space="preserve">) or the pericarp </w:t>
      </w:r>
      <w:r w:rsidRPr="00C74AEB">
        <w:rPr>
          <w:rFonts w:asciiTheme="majorBidi" w:eastAsia="Times New Roman" w:hAnsiTheme="majorBidi" w:cstheme="majorBidi"/>
          <w:sz w:val="28"/>
          <w:szCs w:val="28"/>
          <w:u w:val="single"/>
        </w:rPr>
        <w:t>(Triplochiton</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Pterocarpus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Koompassia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Casuarina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Fraxinus</w:t>
      </w:r>
      <w:r w:rsidRPr="00C74AEB">
        <w:rPr>
          <w:rFonts w:asciiTheme="majorBidi" w:eastAsia="Times New Roman" w:hAnsiTheme="majorBidi" w:cstheme="majorBidi"/>
          <w:sz w:val="28"/>
          <w:szCs w:val="28"/>
        </w:rPr>
        <w:t xml:space="preserve">) possesses wings or hairs which serve to prolong flight. Fruits may also be winged by the enlargement of persistent sepals (most Dipterocarps) or persistent petals (e.g. </w:t>
      </w:r>
      <w:r w:rsidRPr="00C74AEB">
        <w:rPr>
          <w:rFonts w:asciiTheme="majorBidi" w:eastAsia="Times New Roman" w:hAnsiTheme="majorBidi" w:cstheme="majorBidi"/>
          <w:sz w:val="28"/>
          <w:szCs w:val="28"/>
          <w:u w:val="single"/>
        </w:rPr>
        <w:t>Gluta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Swintonia</w:t>
      </w:r>
      <w:r w:rsidRPr="00C74AEB">
        <w:rPr>
          <w:rFonts w:asciiTheme="majorBidi" w:eastAsia="Times New Roman" w:hAnsiTheme="majorBidi" w:cstheme="majorBidi"/>
          <w:sz w:val="28"/>
          <w:szCs w:val="28"/>
        </w:rPr>
        <w:t>) (Krugman et al. 1974, Ng 1981).</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The distance of seed or fruit dispersal by wind depends not only on the weight and type of dispersal unit but also on the local wind conditions and the exposure and isolation of the mother trees. Studies of the winged fruits of </w:t>
      </w:r>
      <w:r w:rsidRPr="00C74AEB">
        <w:rPr>
          <w:rFonts w:asciiTheme="majorBidi" w:eastAsia="Times New Roman" w:hAnsiTheme="majorBidi" w:cstheme="majorBidi"/>
          <w:sz w:val="28"/>
          <w:szCs w:val="28"/>
          <w:u w:val="single"/>
        </w:rPr>
        <w:t>Shorea contorta</w:t>
      </w:r>
      <w:r w:rsidRPr="00C74AEB">
        <w:rPr>
          <w:rFonts w:asciiTheme="majorBidi" w:eastAsia="Times New Roman" w:hAnsiTheme="majorBidi" w:cstheme="majorBidi"/>
          <w:sz w:val="28"/>
          <w:szCs w:val="28"/>
        </w:rPr>
        <w:t xml:space="preserve"> in the Philippines indicated that 90 % of the fruits travelled 20 m or less from the stem of the mother tree (Tamari and Jacalne 1984) and a summary of other dipterocarp studies compiled by the same authors shows that most fruits landed within 30 m or, at most, 40 m. This compares with a dispersal distance within 2–3 m of the crown perimeter for a heavy, wingless seed such as </w:t>
      </w:r>
      <w:r w:rsidRPr="00C74AEB">
        <w:rPr>
          <w:rFonts w:asciiTheme="majorBidi" w:eastAsia="Times New Roman" w:hAnsiTheme="majorBidi" w:cstheme="majorBidi"/>
          <w:sz w:val="28"/>
          <w:szCs w:val="28"/>
          <w:u w:val="single"/>
        </w:rPr>
        <w:t>Quercus crispula</w:t>
      </w:r>
      <w:r w:rsidRPr="00C74AEB">
        <w:rPr>
          <w:rFonts w:asciiTheme="majorBidi" w:eastAsia="Times New Roman" w:hAnsiTheme="majorBidi" w:cstheme="majorBidi"/>
          <w:sz w:val="28"/>
          <w:szCs w:val="28"/>
        </w:rPr>
        <w:t xml:space="preserve"> in Japan and a distance of over 60–90 m for 5 % of the light, winged seeds of </w:t>
      </w:r>
      <w:r w:rsidRPr="00C74AEB">
        <w:rPr>
          <w:rFonts w:asciiTheme="majorBidi" w:eastAsia="Times New Roman" w:hAnsiTheme="majorBidi" w:cstheme="majorBidi"/>
          <w:sz w:val="28"/>
          <w:szCs w:val="28"/>
          <w:u w:val="single"/>
        </w:rPr>
        <w:t>Betula ermannii</w:t>
      </w:r>
      <w:r w:rsidRPr="00C74AEB">
        <w:rPr>
          <w:rFonts w:asciiTheme="majorBidi" w:eastAsia="Times New Roman" w:hAnsiTheme="majorBidi" w:cstheme="majorBidi"/>
          <w:sz w:val="28"/>
          <w:szCs w:val="28"/>
        </w:rPr>
        <w:t xml:space="preserve"> downwind from a belt of mother trees left in a logged over area (Konda 1969 and Nakano et al. 1968, cited in Tamari and Jacalne 1984).</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lastRenderedPageBreak/>
        <w:t xml:space="preserve">Fleshy edible fruits and arillate seeds, on the other hand, encourage dispersal by birds or mammals. When such fruits or seeds are eaten by animals, the seeds, protected by the hard seedcoat or endocarp, often pass unharmed through the digestive tract and are deposited in the faeces at a considerable distance from the place where they were consumed. In many cases the digestive juices actually assist subsequent germination through softening of the hard seedcoat. In Africa the hornbill is a highly efficient dispersal agent for seeds of </w:t>
      </w:r>
      <w:r w:rsidRPr="00C74AEB">
        <w:rPr>
          <w:rFonts w:asciiTheme="majorBidi" w:eastAsia="Times New Roman" w:hAnsiTheme="majorBidi" w:cstheme="majorBidi"/>
          <w:sz w:val="28"/>
          <w:szCs w:val="28"/>
          <w:u w:val="single"/>
        </w:rPr>
        <w:t>Maesopsis eminii</w:t>
      </w:r>
      <w:r w:rsidRPr="00C74AEB">
        <w:rPr>
          <w:rFonts w:asciiTheme="majorBidi" w:eastAsia="Times New Roman" w:hAnsiTheme="majorBidi" w:cstheme="majorBidi"/>
          <w:sz w:val="28"/>
          <w:szCs w:val="28"/>
        </w:rPr>
        <w:t xml:space="preserve">. Sometimes the process is so effective as to be an embarrassment. Free-ranging goats eat the pods of </w:t>
      </w:r>
      <w:r w:rsidRPr="00C74AEB">
        <w:rPr>
          <w:rFonts w:asciiTheme="majorBidi" w:eastAsia="Times New Roman" w:hAnsiTheme="majorBidi" w:cstheme="majorBidi"/>
          <w:sz w:val="28"/>
          <w:szCs w:val="28"/>
          <w:u w:val="single"/>
        </w:rPr>
        <w:t>Prosopis</w:t>
      </w:r>
      <w:r w:rsidRPr="00C74AEB">
        <w:rPr>
          <w:rFonts w:asciiTheme="majorBidi" w:eastAsia="Times New Roman" w:hAnsiTheme="majorBidi" w:cstheme="majorBidi"/>
          <w:sz w:val="28"/>
          <w:szCs w:val="28"/>
        </w:rPr>
        <w:t xml:space="preserve"> in some countries and spread the seeds indiscriminately over large areas; excellent germination and the aggressive pioneering qualities of the young plants may then render this genus a dangerous weed-tree. Coralling of the goats and collection of the seeds for use under strictly controlled management can overcome the problem. In other cases the fruit is eaten while the stones or seeds are rejected, but the animal may carry the fruit some distance from the parent before dropping the seeds. Rodents remove and store nuts or seeds; many are subsequently eaten but some may escape to germinate in the new situation.</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Wind and animals are the most important agents of dispersal, but dispersal by water is common in some riverine species and large and heavy fruits are distributed to some extent by gravity on steep slopes (Krugman et al. 1974).</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9" w:name="ch2.6"/>
      <w:r w:rsidRPr="00C74AEB">
        <w:rPr>
          <w:rFonts w:asciiTheme="majorBidi" w:eastAsia="Times New Roman" w:hAnsiTheme="majorBidi" w:cstheme="majorBidi"/>
          <w:b/>
          <w:bCs/>
          <w:color w:val="D03724"/>
          <w:sz w:val="28"/>
          <w:szCs w:val="28"/>
          <w:u w:val="single"/>
        </w:rPr>
        <w:t>Gymnosperm Seed Development</w:t>
      </w:r>
      <w:bookmarkEnd w:id="9"/>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Gymnosperm ovules have certain characteristics in common with angiosperm ovules, but there are a number of differences. There is normally a single protective integument which in a typical female cone is partially fused to the ovuliferous scale carrying the paired ovules. Within the integument is the nucellus which at fertilization, as in angiosperms, is clearly separated from the integument only in the region of the micropyle (Fritsch and Salisbury 1947). Meiosis within the nucellus, followed by mitotic cell divisions, leads to the formation of a multicellular haploid tissue - the female gametophyte. By the time of fertilization it has developed much further than the 8-nucleate embryo sac in the angiosperms and has largely displaced the nucellus. At its micropylar end it is differentiated into one to many archegonia, each of which contains a large egg cell (Chuntanaparb 1975).</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At fertilization the pollen tube releases two male nuclei into an archegonium, one of which unites with the egg nucleus. The resulting zygote later develops into the new diploid embryo. The second male nucleus aborts in </w:t>
      </w:r>
      <w:r w:rsidRPr="00C74AEB">
        <w:rPr>
          <w:rFonts w:asciiTheme="majorBidi" w:eastAsia="Times New Roman" w:hAnsiTheme="majorBidi" w:cstheme="majorBidi"/>
          <w:sz w:val="28"/>
          <w:szCs w:val="28"/>
          <w:u w:val="single"/>
        </w:rPr>
        <w:t>Pinus</w:t>
      </w:r>
      <w:r w:rsidRPr="00C74AEB">
        <w:rPr>
          <w:rFonts w:asciiTheme="majorBidi" w:eastAsia="Times New Roman" w:hAnsiTheme="majorBidi" w:cstheme="majorBidi"/>
          <w:sz w:val="28"/>
          <w:szCs w:val="28"/>
        </w:rPr>
        <w:t xml:space="preserve"> but may fertilize a second archegonium in other genera e.g. </w:t>
      </w:r>
      <w:r w:rsidRPr="00C74AEB">
        <w:rPr>
          <w:rFonts w:asciiTheme="majorBidi" w:eastAsia="Times New Roman" w:hAnsiTheme="majorBidi" w:cstheme="majorBidi"/>
          <w:sz w:val="28"/>
          <w:szCs w:val="28"/>
          <w:u w:val="single"/>
        </w:rPr>
        <w:t>Cupressus</w:t>
      </w:r>
      <w:r w:rsidRPr="00C74AEB">
        <w:rPr>
          <w:rFonts w:asciiTheme="majorBidi" w:eastAsia="Times New Roman" w:hAnsiTheme="majorBidi" w:cstheme="majorBidi"/>
          <w:sz w:val="28"/>
          <w:szCs w:val="28"/>
        </w:rPr>
        <w:t xml:space="preserve"> (Fritsch &amp; Salisbury 1947). It </w:t>
      </w:r>
      <w:r w:rsidRPr="00C74AEB">
        <w:rPr>
          <w:rFonts w:asciiTheme="majorBidi" w:eastAsia="Times New Roman" w:hAnsiTheme="majorBidi" w:cstheme="majorBidi"/>
          <w:sz w:val="28"/>
          <w:szCs w:val="28"/>
        </w:rPr>
        <w:lastRenderedPageBreak/>
        <w:t>never unites with female polar nuclei to form a triploid tissue analogous to the endosperm of angiosperms; this type of tissue is unknown in gymnosperm seeds. For detailed descriptions of gymnosperm embryogeny, readers are referred to the specialized literature (e.g. Singh and Johri 1972).</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The mature seed consists of some or all of the following: (1) The seedcoat or testa developed from the integument, diploid from the female parent. (2) The diploid perisperm, developed from the nucellus. In most species this is absorbed by the female gametophyte and has disappeared by the time the seed is ripe, but it is still recognisable as a distinct tissue in e.g. </w:t>
      </w:r>
      <w:r w:rsidRPr="00C74AEB">
        <w:rPr>
          <w:rFonts w:asciiTheme="majorBidi" w:eastAsia="Times New Roman" w:hAnsiTheme="majorBidi" w:cstheme="majorBidi"/>
          <w:sz w:val="28"/>
          <w:szCs w:val="28"/>
          <w:u w:val="single"/>
        </w:rPr>
        <w:t>Pinus pinea</w:t>
      </w:r>
      <w:r w:rsidRPr="00C74AEB">
        <w:rPr>
          <w:rFonts w:asciiTheme="majorBidi" w:eastAsia="Times New Roman" w:hAnsiTheme="majorBidi" w:cstheme="majorBidi"/>
          <w:sz w:val="28"/>
          <w:szCs w:val="28"/>
        </w:rPr>
        <w:t xml:space="preserve">. (3) The haploid female gametophytic tissue which serves as a food storage organ to nourish the embryo. Its function is the same as the endosperm in angiosperms and it is frequently called by that name, though this usage has been deprecated (Bonner 1984a). (4) The embryo, with the same parts of radicle, cotyledons, plumule and hypocotyl as in angiosperms. The number of cotyledons varies between and within genera, being up to 18 in </w:t>
      </w:r>
      <w:r w:rsidRPr="00C74AEB">
        <w:rPr>
          <w:rFonts w:asciiTheme="majorBidi" w:eastAsia="Times New Roman" w:hAnsiTheme="majorBidi" w:cstheme="majorBidi"/>
          <w:sz w:val="28"/>
          <w:szCs w:val="28"/>
          <w:u w:val="single"/>
        </w:rPr>
        <w:t>Pinus</w:t>
      </w:r>
      <w:r w:rsidRPr="00C74AEB">
        <w:rPr>
          <w:rFonts w:asciiTheme="majorBidi" w:eastAsia="Times New Roman" w:hAnsiTheme="majorBidi" w:cstheme="majorBidi"/>
          <w:sz w:val="28"/>
          <w:szCs w:val="28"/>
        </w:rPr>
        <w:t>, compared with the constant two in the dicotyledons which comprise the great majority of angiosperm trees. The essential constituents of embryo, protective covering and food storage tissue are present in all gymnosperm, as in all angiosperm, seeds.</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More than one archegonium may be fertilized within a single ovule, but in the great majority of cases only one embryo per seed develops to maturity. Polyembryony does occur but is uncommon in most genera.</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0" w:name="ch2.7"/>
      <w:r w:rsidRPr="00C74AEB">
        <w:rPr>
          <w:rFonts w:asciiTheme="majorBidi" w:eastAsia="Times New Roman" w:hAnsiTheme="majorBidi" w:cstheme="majorBidi"/>
          <w:b/>
          <w:bCs/>
          <w:color w:val="D03724"/>
          <w:sz w:val="28"/>
          <w:szCs w:val="28"/>
          <w:u w:val="single"/>
        </w:rPr>
        <w:t>Gymnosperm Fruit Development</w:t>
      </w:r>
      <w:bookmarkEnd w:id="10"/>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After fertilization the female cone which is typical of several important gymnosperm genera e.g. </w:t>
      </w:r>
      <w:r w:rsidRPr="00C74AEB">
        <w:rPr>
          <w:rFonts w:asciiTheme="majorBidi" w:eastAsia="Times New Roman" w:hAnsiTheme="majorBidi" w:cstheme="majorBidi"/>
          <w:sz w:val="28"/>
          <w:szCs w:val="28"/>
          <w:u w:val="single"/>
        </w:rPr>
        <w:t>Pinus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Picea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Pseudotsuga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Araucaria</w:t>
      </w:r>
      <w:r w:rsidRPr="00C74AEB">
        <w:rPr>
          <w:rFonts w:asciiTheme="majorBidi" w:eastAsia="Times New Roman" w:hAnsiTheme="majorBidi" w:cstheme="majorBidi"/>
          <w:sz w:val="28"/>
          <w:szCs w:val="28"/>
        </w:rPr>
        <w:t xml:space="preserve"> increases in size and weight, in moisture content and accumulated food reserves. As the cones approach maturity, the moisture content decreases again, accumulated food reserves move from cone to seed and the cone becomes more or less woody.</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In </w:t>
      </w:r>
      <w:r w:rsidRPr="00C74AEB">
        <w:rPr>
          <w:rFonts w:asciiTheme="majorBidi" w:eastAsia="Times New Roman" w:hAnsiTheme="majorBidi" w:cstheme="majorBidi"/>
          <w:sz w:val="28"/>
          <w:szCs w:val="28"/>
          <w:u w:val="single"/>
        </w:rPr>
        <w:t>Pinus</w:t>
      </w:r>
      <w:r w:rsidRPr="00C74AEB">
        <w:rPr>
          <w:rFonts w:asciiTheme="majorBidi" w:eastAsia="Times New Roman" w:hAnsiTheme="majorBidi" w:cstheme="majorBidi"/>
          <w:sz w:val="28"/>
          <w:szCs w:val="28"/>
        </w:rPr>
        <w:t xml:space="preserve"> a thin membranous flake becomes detached from the ovuliferous scale and adheres to the ripe seed, forming a wing (Fritsch &amp; Salisbury 1947). In </w:t>
      </w:r>
      <w:r w:rsidRPr="00C74AEB">
        <w:rPr>
          <w:rFonts w:asciiTheme="majorBidi" w:eastAsia="Times New Roman" w:hAnsiTheme="majorBidi" w:cstheme="majorBidi"/>
          <w:sz w:val="28"/>
          <w:szCs w:val="28"/>
          <w:u w:val="single"/>
        </w:rPr>
        <w:t>Juniperus</w:t>
      </w:r>
      <w:r w:rsidRPr="00C74AEB">
        <w:rPr>
          <w:rFonts w:asciiTheme="majorBidi" w:eastAsia="Times New Roman" w:hAnsiTheme="majorBidi" w:cstheme="majorBidi"/>
          <w:sz w:val="28"/>
          <w:szCs w:val="28"/>
        </w:rPr>
        <w:t xml:space="preserve"> the cone scales grow together to form a fleshy berry-like fruit, while in </w:t>
      </w:r>
      <w:r w:rsidRPr="00C74AEB">
        <w:rPr>
          <w:rFonts w:asciiTheme="majorBidi" w:eastAsia="Times New Roman" w:hAnsiTheme="majorBidi" w:cstheme="majorBidi"/>
          <w:sz w:val="28"/>
          <w:szCs w:val="28"/>
          <w:u w:val="single"/>
        </w:rPr>
        <w:t>Podocarpus</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Taxus</w:t>
      </w:r>
      <w:r w:rsidRPr="00C74AEB">
        <w:rPr>
          <w:rFonts w:asciiTheme="majorBidi" w:eastAsia="Times New Roman" w:hAnsiTheme="majorBidi" w:cstheme="majorBidi"/>
          <w:sz w:val="28"/>
          <w:szCs w:val="28"/>
        </w:rPr>
        <w:t xml:space="preserve"> each singly borne seed becomes partly enclosed in a brightly coloured cup, the aril. The woody cone is, however, the most characteristic type of fruit in gymnosperms.</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As in angiosperms, there is wide variation in the interval between flowering and seed maturity and dispersal. Because of the lengthy gap between pollination and </w:t>
      </w:r>
      <w:r w:rsidRPr="00C74AEB">
        <w:rPr>
          <w:rFonts w:asciiTheme="majorBidi" w:eastAsia="Times New Roman" w:hAnsiTheme="majorBidi" w:cstheme="majorBidi"/>
          <w:sz w:val="28"/>
          <w:szCs w:val="28"/>
        </w:rPr>
        <w:lastRenderedPageBreak/>
        <w:t xml:space="preserve">fertilization in pines, mentioned earlier in this chapter, the total period between pollination and cone maturity is usually about two years in this genus; among tropical pines, average periods are 23 months in </w:t>
      </w:r>
      <w:r w:rsidRPr="00C74AEB">
        <w:rPr>
          <w:rFonts w:asciiTheme="majorBidi" w:eastAsia="Times New Roman" w:hAnsiTheme="majorBidi" w:cstheme="majorBidi"/>
          <w:sz w:val="28"/>
          <w:szCs w:val="28"/>
          <w:u w:val="single"/>
        </w:rPr>
        <w:t>Pinus kesiya</w:t>
      </w:r>
      <w:r w:rsidRPr="00C74AEB">
        <w:rPr>
          <w:rFonts w:asciiTheme="majorBidi" w:eastAsia="Times New Roman" w:hAnsiTheme="majorBidi" w:cstheme="majorBidi"/>
          <w:sz w:val="28"/>
          <w:szCs w:val="28"/>
        </w:rPr>
        <w:t xml:space="preserve"> (Armitage and Burley 1980), 18–21 months in </w:t>
      </w:r>
      <w:r w:rsidRPr="00C74AEB">
        <w:rPr>
          <w:rFonts w:asciiTheme="majorBidi" w:eastAsia="Times New Roman" w:hAnsiTheme="majorBidi" w:cstheme="majorBidi"/>
          <w:sz w:val="28"/>
          <w:szCs w:val="28"/>
          <w:u w:val="single"/>
        </w:rPr>
        <w:t>P. oocarpa</w:t>
      </w:r>
      <w:r w:rsidRPr="00C74AEB">
        <w:rPr>
          <w:rFonts w:asciiTheme="majorBidi" w:eastAsia="Times New Roman" w:hAnsiTheme="majorBidi" w:cstheme="majorBidi"/>
          <w:sz w:val="28"/>
          <w:szCs w:val="28"/>
        </w:rPr>
        <w:t xml:space="preserve"> (Robbins 1983 b). In </w:t>
      </w:r>
      <w:r w:rsidRPr="00C74AEB">
        <w:rPr>
          <w:rFonts w:asciiTheme="majorBidi" w:eastAsia="Times New Roman" w:hAnsiTheme="majorBidi" w:cstheme="majorBidi"/>
          <w:sz w:val="28"/>
          <w:szCs w:val="28"/>
          <w:u w:val="single"/>
        </w:rPr>
        <w:t>Agathis robusta</w:t>
      </w:r>
      <w:r w:rsidRPr="00C74AEB">
        <w:rPr>
          <w:rFonts w:asciiTheme="majorBidi" w:eastAsia="Times New Roman" w:hAnsiTheme="majorBidi" w:cstheme="majorBidi"/>
          <w:sz w:val="28"/>
          <w:szCs w:val="28"/>
        </w:rPr>
        <w:t xml:space="preserve"> it takes 16 months from pollination to cone maturity (Whitmore 1977), in </w:t>
      </w:r>
      <w:r w:rsidRPr="00C74AEB">
        <w:rPr>
          <w:rFonts w:asciiTheme="majorBidi" w:eastAsia="Times New Roman" w:hAnsiTheme="majorBidi" w:cstheme="majorBidi"/>
          <w:sz w:val="28"/>
          <w:szCs w:val="28"/>
          <w:u w:val="single"/>
        </w:rPr>
        <w:t>Araucaria cunninghamii</w:t>
      </w:r>
      <w:r w:rsidRPr="00C74AEB">
        <w:rPr>
          <w:rFonts w:asciiTheme="majorBidi" w:eastAsia="Times New Roman" w:hAnsiTheme="majorBidi" w:cstheme="majorBidi"/>
          <w:sz w:val="28"/>
          <w:szCs w:val="28"/>
        </w:rPr>
        <w:t xml:space="preserve"> up to 24 months (Walters 1974), in </w:t>
      </w:r>
      <w:r w:rsidRPr="00C74AEB">
        <w:rPr>
          <w:rFonts w:asciiTheme="majorBidi" w:eastAsia="Times New Roman" w:hAnsiTheme="majorBidi" w:cstheme="majorBidi"/>
          <w:sz w:val="28"/>
          <w:szCs w:val="28"/>
          <w:u w:val="single"/>
        </w:rPr>
        <w:t>Araucaria hunsteinii</w:t>
      </w:r>
      <w:r w:rsidRPr="00C74AEB">
        <w:rPr>
          <w:rFonts w:asciiTheme="majorBidi" w:eastAsia="Times New Roman" w:hAnsiTheme="majorBidi" w:cstheme="majorBidi"/>
          <w:sz w:val="28"/>
          <w:szCs w:val="28"/>
        </w:rPr>
        <w:t xml:space="preserve"> 21–24 months (Evans 1982). In several temperate genera development is completed within a single season e.g. in 5 months in </w:t>
      </w:r>
      <w:r w:rsidRPr="00C74AEB">
        <w:rPr>
          <w:rFonts w:asciiTheme="majorBidi" w:eastAsia="Times New Roman" w:hAnsiTheme="majorBidi" w:cstheme="majorBidi"/>
          <w:sz w:val="28"/>
          <w:szCs w:val="28"/>
          <w:u w:val="single"/>
        </w:rPr>
        <w:t>Pseudotsuga menziesii</w:t>
      </w:r>
      <w:r w:rsidRPr="00C74AEB">
        <w:rPr>
          <w:rFonts w:asciiTheme="majorBidi" w:eastAsia="Times New Roman" w:hAnsiTheme="majorBidi" w:cstheme="majorBidi"/>
          <w:sz w:val="28"/>
          <w:szCs w:val="28"/>
        </w:rPr>
        <w:t xml:space="preserve"> (Allan and Owens 1972).</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Development of unpollinated female cones with fully formed but usually empty seeds occurs in a number of gymnosperm genera. Parthenocarpy is common in </w:t>
      </w:r>
      <w:r w:rsidRPr="00C74AEB">
        <w:rPr>
          <w:rFonts w:asciiTheme="majorBidi" w:eastAsia="Times New Roman" w:hAnsiTheme="majorBidi" w:cstheme="majorBidi"/>
          <w:sz w:val="28"/>
          <w:szCs w:val="28"/>
          <w:u w:val="single"/>
        </w:rPr>
        <w:t>Abies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Juniperus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Larix</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Picea</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Taxus</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Thuja</w:t>
      </w:r>
      <w:r w:rsidRPr="00C74AEB">
        <w:rPr>
          <w:rFonts w:asciiTheme="majorBidi" w:eastAsia="Times New Roman" w:hAnsiTheme="majorBidi" w:cstheme="majorBidi"/>
          <w:sz w:val="28"/>
          <w:szCs w:val="28"/>
        </w:rPr>
        <w:t>. It is rare in pines (Kozlowski 1971).</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1" w:name="ch2.8"/>
      <w:r w:rsidRPr="00C74AEB">
        <w:rPr>
          <w:rFonts w:asciiTheme="majorBidi" w:eastAsia="Times New Roman" w:hAnsiTheme="majorBidi" w:cstheme="majorBidi"/>
          <w:b/>
          <w:bCs/>
          <w:color w:val="D03724"/>
          <w:sz w:val="28"/>
          <w:szCs w:val="28"/>
          <w:u w:val="single"/>
        </w:rPr>
        <w:t>Seed Dispersal in Gymnosperms</w:t>
      </w:r>
      <w:bookmarkEnd w:id="11"/>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In the typical gymnosperm cone, ripening and drying of cone and seed causes the cone scales to open and release the seeds. Dispersal is by wind, assisted by the presence of seed wings in some genera e.g. </w:t>
      </w:r>
      <w:r w:rsidRPr="00C74AEB">
        <w:rPr>
          <w:rFonts w:asciiTheme="majorBidi" w:eastAsia="Times New Roman" w:hAnsiTheme="majorBidi" w:cstheme="majorBidi"/>
          <w:sz w:val="28"/>
          <w:szCs w:val="28"/>
          <w:u w:val="single"/>
        </w:rPr>
        <w:t>Pinus</w:t>
      </w:r>
      <w:r w:rsidRPr="00C74AEB">
        <w:rPr>
          <w:rFonts w:asciiTheme="majorBidi" w:eastAsia="Times New Roman" w:hAnsiTheme="majorBidi" w:cstheme="majorBidi"/>
          <w:sz w:val="28"/>
          <w:szCs w:val="28"/>
        </w:rPr>
        <w:t xml:space="preserve">. In some species of pine, the “closed-cone pines” e.g. </w:t>
      </w:r>
      <w:r w:rsidRPr="00C74AEB">
        <w:rPr>
          <w:rFonts w:asciiTheme="majorBidi" w:eastAsia="Times New Roman" w:hAnsiTheme="majorBidi" w:cstheme="majorBidi"/>
          <w:sz w:val="28"/>
          <w:szCs w:val="28"/>
          <w:u w:val="single"/>
        </w:rPr>
        <w:t>P. radiata</w:t>
      </w:r>
      <w:r w:rsidRPr="00C74AEB">
        <w:rPr>
          <w:rFonts w:asciiTheme="majorBidi" w:eastAsia="Times New Roman" w:hAnsiTheme="majorBidi" w:cstheme="majorBidi"/>
          <w:sz w:val="28"/>
          <w:szCs w:val="28"/>
        </w:rPr>
        <w:t xml:space="preserve">, there is usually an interval of months or years between ripening of cone and seed and the opening of the cone to release the seeds. In a few cases, such as the interior provenances of </w:t>
      </w:r>
      <w:r w:rsidRPr="00C74AEB">
        <w:rPr>
          <w:rFonts w:asciiTheme="majorBidi" w:eastAsia="Times New Roman" w:hAnsiTheme="majorBidi" w:cstheme="majorBidi"/>
          <w:sz w:val="28"/>
          <w:szCs w:val="28"/>
          <w:u w:val="single"/>
        </w:rPr>
        <w:t>Pinus contorta</w:t>
      </w:r>
      <w:r w:rsidRPr="00C74AEB">
        <w:rPr>
          <w:rFonts w:asciiTheme="majorBidi" w:eastAsia="Times New Roman" w:hAnsiTheme="majorBidi" w:cstheme="majorBidi"/>
          <w:sz w:val="28"/>
          <w:szCs w:val="28"/>
        </w:rPr>
        <w:t xml:space="preserve">, the cones open only when subjected to the heat of occasional fierce forest fires. On the other hand the cones of </w:t>
      </w:r>
      <w:r w:rsidRPr="00C74AEB">
        <w:rPr>
          <w:rFonts w:asciiTheme="majorBidi" w:eastAsia="Times New Roman" w:hAnsiTheme="majorBidi" w:cstheme="majorBidi"/>
          <w:sz w:val="28"/>
          <w:szCs w:val="28"/>
          <w:u w:val="single"/>
        </w:rPr>
        <w:t>Abies</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Araucaria</w:t>
      </w:r>
      <w:r w:rsidRPr="00C74AEB">
        <w:rPr>
          <w:rFonts w:asciiTheme="majorBidi" w:eastAsia="Times New Roman" w:hAnsiTheme="majorBidi" w:cstheme="majorBidi"/>
          <w:sz w:val="28"/>
          <w:szCs w:val="28"/>
        </w:rPr>
        <w:t xml:space="preserve"> disintegrate readily on the tree within a few weeks of ripening.</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Seed dispersal by animals is less common, but the “berries” of </w:t>
      </w:r>
      <w:r w:rsidRPr="00C74AEB">
        <w:rPr>
          <w:rFonts w:asciiTheme="majorBidi" w:eastAsia="Times New Roman" w:hAnsiTheme="majorBidi" w:cstheme="majorBidi"/>
          <w:sz w:val="28"/>
          <w:szCs w:val="28"/>
          <w:u w:val="single"/>
        </w:rPr>
        <w:t>Juniperus</w:t>
      </w:r>
      <w:r w:rsidRPr="00C74AEB">
        <w:rPr>
          <w:rFonts w:asciiTheme="majorBidi" w:eastAsia="Times New Roman" w:hAnsiTheme="majorBidi" w:cstheme="majorBidi"/>
          <w:sz w:val="28"/>
          <w:szCs w:val="28"/>
        </w:rPr>
        <w:t xml:space="preserve"> and the fleshy fruits of </w:t>
      </w:r>
      <w:r w:rsidRPr="00C74AEB">
        <w:rPr>
          <w:rFonts w:asciiTheme="majorBidi" w:eastAsia="Times New Roman" w:hAnsiTheme="majorBidi" w:cstheme="majorBidi"/>
          <w:sz w:val="28"/>
          <w:szCs w:val="28"/>
          <w:u w:val="single"/>
        </w:rPr>
        <w:t>Podocarpus</w:t>
      </w:r>
      <w:r w:rsidRPr="00C74AEB">
        <w:rPr>
          <w:rFonts w:asciiTheme="majorBidi" w:eastAsia="Times New Roman" w:hAnsiTheme="majorBidi" w:cstheme="majorBidi"/>
          <w:sz w:val="28"/>
          <w:szCs w:val="28"/>
        </w:rPr>
        <w:t xml:space="preserve"> are examples. In addition seeds of temperate conifers are collected and stored by rodents and some may germinate before being eaten.</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2" w:name="ch2.9"/>
      <w:r w:rsidRPr="00C74AEB">
        <w:rPr>
          <w:rFonts w:asciiTheme="majorBidi" w:eastAsia="Times New Roman" w:hAnsiTheme="majorBidi" w:cstheme="majorBidi"/>
          <w:b/>
          <w:bCs/>
          <w:color w:val="D03724"/>
          <w:sz w:val="28"/>
          <w:szCs w:val="28"/>
          <w:u w:val="single"/>
        </w:rPr>
        <w:t>Seed Germination</w:t>
      </w:r>
      <w:bookmarkEnd w:id="12"/>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At one extreme, certain species of mangrove are viviparous, the seeds germinating before they separate from the parent. At the other extreme, seed of some species may remain dormant but alive for many years, capable of germinating if an event occurs to break the dormancy state. The subject of dormancy is discussed later in this chapter. Between the viviparous and the deeply dormant seed types occur many types of seed which are capable of germination soon after seed shed provided that environmental conditions are suitable.</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lastRenderedPageBreak/>
        <w:t>Just as fertilization initiates the transformation of the ovule into the ripe seed, so does germination transform the embryo within the seed into the independent seedling. For the purpose of laboratory testing, germination is defined as the emergence and development from the seed embryo of those essential structures which are indicative of the seed's capacity to produce a normal plant under favourable conditions (Justice 1972).</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At maturity and seed shed many seeds have lost the greater part of the moisture which they contained in earlier stages. For example the embryo and female gametophyte of </w:t>
      </w:r>
      <w:r w:rsidRPr="00C74AEB">
        <w:rPr>
          <w:rFonts w:asciiTheme="majorBidi" w:eastAsia="Times New Roman" w:hAnsiTheme="majorBidi" w:cstheme="majorBidi"/>
          <w:sz w:val="28"/>
          <w:szCs w:val="28"/>
          <w:u w:val="single"/>
        </w:rPr>
        <w:t>Pinus lambertiana</w:t>
      </w:r>
      <w:r w:rsidRPr="00C74AEB">
        <w:rPr>
          <w:rFonts w:asciiTheme="majorBidi" w:eastAsia="Times New Roman" w:hAnsiTheme="majorBidi" w:cstheme="majorBidi"/>
          <w:sz w:val="28"/>
          <w:szCs w:val="28"/>
        </w:rPr>
        <w:t xml:space="preserve"> contain as much as 50 % moisture content (fresh weight basis) shortly after fertilization, but by the time of natural seed dispersal the moisture content of the embryo is reduced to 23 % and of the female gametophyte to 38 % (Krugman et al. 1974). Reduced metabolic activity is associated with the drying of the seed, so that the embryo is in a temporarily resting or quiescent state, which in non-dormant seeds can be easily reactivated by suitable conditions. These conditions are (1) Adequate moisture (2) Favourable temperatures (3) Adequate gas exchange and, for some species, (4) Light (Krugman et al. 1974). There is considerable variation between species in the optimum levels of the different factors and there is frequently an interaction between them. Some examples of optimum temperatures for different species are given in Tables 9.1 and 9.2 in Chapter 9.</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Germination consists of three overlapping processes:</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(1) Absorption of water mainly by imbibition, causing a swelling of the seed and eventual splitting of the seedcoat, (2) Enzymatic activity and increased respiration and assimilation rates which signal the use of stored food and translocation to growing regions, (3) Cell enlargement and divisions resulting in emergence of radicle and plumule (Evenari 1957, cited by Krugman et al. 1974).</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In most seeds the radicle of the embryo is close to the micropyle, where absorption of water is easier and quicker than through the seedcoat. As the radicle swells, it exerts pressure on the seedcoat which commonly splits first at this point to free the radicle. This gives rise to the primary root which grows down into the soil and soon produces lateral roots. Subsequent stages depend on whether the species exhibits epigeal germination e.g. </w:t>
      </w:r>
      <w:r w:rsidRPr="00C74AEB">
        <w:rPr>
          <w:rFonts w:asciiTheme="majorBidi" w:eastAsia="Times New Roman" w:hAnsiTheme="majorBidi" w:cstheme="majorBidi"/>
          <w:sz w:val="28"/>
          <w:szCs w:val="28"/>
          <w:u w:val="single"/>
        </w:rPr>
        <w:t>Pinus</w:t>
      </w:r>
      <w:r w:rsidRPr="00C74AEB">
        <w:rPr>
          <w:rFonts w:asciiTheme="majorBidi" w:eastAsia="Times New Roman" w:hAnsiTheme="majorBidi" w:cstheme="majorBidi"/>
          <w:sz w:val="28"/>
          <w:szCs w:val="28"/>
        </w:rPr>
        <w:t xml:space="preserve"> - the hypocotyl elongates and the cotyledons are lifted above ground - or hypogeal germination e.g. </w:t>
      </w:r>
      <w:r w:rsidRPr="00C74AEB">
        <w:rPr>
          <w:rFonts w:asciiTheme="majorBidi" w:eastAsia="Times New Roman" w:hAnsiTheme="majorBidi" w:cstheme="majorBidi"/>
          <w:sz w:val="28"/>
          <w:szCs w:val="28"/>
          <w:u w:val="single"/>
        </w:rPr>
        <w:t>Quercus</w:t>
      </w:r>
      <w:r w:rsidRPr="00C74AEB">
        <w:rPr>
          <w:rFonts w:asciiTheme="majorBidi" w:eastAsia="Times New Roman" w:hAnsiTheme="majorBidi" w:cstheme="majorBidi"/>
          <w:sz w:val="28"/>
          <w:szCs w:val="28"/>
        </w:rPr>
        <w:t xml:space="preserve"> - the hypocotyl is undeveloped and the cotyledons remain on or in the ground. In hypogeal germination the cotyledons can have only a food storage function, or a haustorial function (in species in which food is stored in the endosperm e.g. palms, </w:t>
      </w:r>
      <w:r w:rsidRPr="00C74AEB">
        <w:rPr>
          <w:rFonts w:asciiTheme="majorBidi" w:eastAsia="Times New Roman" w:hAnsiTheme="majorBidi" w:cstheme="majorBidi"/>
          <w:sz w:val="28"/>
          <w:szCs w:val="28"/>
          <w:u w:val="single"/>
        </w:rPr>
        <w:lastRenderedPageBreak/>
        <w:t>Scorodocarpus</w:t>
      </w:r>
      <w:r w:rsidRPr="00C74AEB">
        <w:rPr>
          <w:rFonts w:asciiTheme="majorBidi" w:eastAsia="Times New Roman" w:hAnsiTheme="majorBidi" w:cstheme="majorBidi"/>
          <w:sz w:val="28"/>
          <w:szCs w:val="28"/>
        </w:rPr>
        <w:t>), while in epigeal germination they may also perform a valuable photosynthetic function during early growth of the seedling.</w:t>
      </w:r>
    </w:p>
    <w:p w:rsidR="00475B03" w:rsidRPr="00C74AEB" w:rsidRDefault="00475B03" w:rsidP="00475B03">
      <w:pPr>
        <w:spacing w:after="0" w:line="240" w:lineRule="auto"/>
        <w:jc w:val="center"/>
        <w:rPr>
          <w:rFonts w:asciiTheme="majorBidi" w:eastAsia="Times New Roman" w:hAnsiTheme="majorBidi" w:cstheme="majorBidi"/>
          <w:sz w:val="28"/>
          <w:szCs w:val="28"/>
        </w:rPr>
      </w:pPr>
      <w:bookmarkStart w:id="13" w:name="fig2.4"/>
      <w:bookmarkEnd w:id="13"/>
      <w:r w:rsidRPr="00C74AEB">
        <w:rPr>
          <w:rFonts w:asciiTheme="majorBidi" w:eastAsia="Times New Roman" w:hAnsiTheme="majorBidi" w:cstheme="majorBidi"/>
          <w:noProof/>
          <w:sz w:val="28"/>
          <w:szCs w:val="28"/>
        </w:rPr>
        <w:drawing>
          <wp:inline distT="0" distB="0" distL="0" distR="0">
            <wp:extent cx="3806190" cy="5520690"/>
            <wp:effectExtent l="19050" t="0" r="3810" b="0"/>
            <wp:docPr id="13" name="Picture 13"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4"/>
                    <pic:cNvPicPr>
                      <a:picLocks noChangeAspect="1" noChangeArrowheads="1"/>
                    </pic:cNvPicPr>
                  </pic:nvPicPr>
                  <pic:blipFill>
                    <a:blip r:embed="rId15" cstate="print"/>
                    <a:srcRect/>
                    <a:stretch>
                      <a:fillRect/>
                    </a:stretch>
                  </pic:blipFill>
                  <pic:spPr bwMode="auto">
                    <a:xfrm>
                      <a:off x="0" y="0"/>
                      <a:ext cx="3806190" cy="5520690"/>
                    </a:xfrm>
                    <a:prstGeom prst="rect">
                      <a:avLst/>
                    </a:prstGeom>
                    <a:noFill/>
                    <a:ln w="9525">
                      <a:noFill/>
                      <a:miter lim="800000"/>
                      <a:headEnd/>
                      <a:tailEnd/>
                    </a:ln>
                  </pic:spPr>
                </pic:pic>
              </a:graphicData>
            </a:graphic>
          </wp:inline>
        </w:drawing>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b/>
          <w:bCs/>
          <w:sz w:val="28"/>
          <w:szCs w:val="28"/>
        </w:rPr>
        <w:t>2.4</w:t>
      </w:r>
      <w:r w:rsidRPr="00C74AEB">
        <w:rPr>
          <w:rFonts w:asciiTheme="majorBidi" w:eastAsia="Times New Roman" w:hAnsiTheme="majorBidi" w:cstheme="majorBidi"/>
          <w:sz w:val="28"/>
          <w:szCs w:val="28"/>
        </w:rPr>
        <w:t xml:space="preserve"> Longitudinal section through an ovule of </w:t>
      </w:r>
      <w:r w:rsidRPr="00C74AEB">
        <w:rPr>
          <w:rFonts w:asciiTheme="majorBidi" w:eastAsia="Times New Roman" w:hAnsiTheme="majorBidi" w:cstheme="majorBidi"/>
          <w:i/>
          <w:iCs/>
          <w:sz w:val="28"/>
          <w:szCs w:val="28"/>
        </w:rPr>
        <w:t>Pinus</w:t>
      </w:r>
      <w:r w:rsidRPr="00C74AEB">
        <w:rPr>
          <w:rFonts w:asciiTheme="majorBidi" w:eastAsia="Times New Roman" w:hAnsiTheme="majorBidi" w:cstheme="majorBidi"/>
          <w:sz w:val="28"/>
          <w:szCs w:val="28"/>
        </w:rPr>
        <w:t xml:space="preserve"> during the period of pollen tube development preceding fertilization. (USDA Forest Service)</w:t>
      </w:r>
    </w:p>
    <w:p w:rsidR="00475B03" w:rsidRPr="00C74AEB" w:rsidRDefault="00475B03" w:rsidP="00475B03">
      <w:pPr>
        <w:spacing w:after="0" w:line="240" w:lineRule="auto"/>
        <w:jc w:val="center"/>
        <w:rPr>
          <w:rFonts w:asciiTheme="majorBidi" w:eastAsia="Times New Roman" w:hAnsiTheme="majorBidi" w:cstheme="majorBidi"/>
          <w:sz w:val="28"/>
          <w:szCs w:val="28"/>
        </w:rPr>
      </w:pPr>
      <w:bookmarkStart w:id="14" w:name="fig2.5"/>
      <w:bookmarkEnd w:id="14"/>
      <w:r w:rsidRPr="00C74AEB">
        <w:rPr>
          <w:rFonts w:asciiTheme="majorBidi" w:eastAsia="Times New Roman" w:hAnsiTheme="majorBidi" w:cstheme="majorBidi"/>
          <w:noProof/>
          <w:sz w:val="28"/>
          <w:szCs w:val="28"/>
        </w:rPr>
        <w:lastRenderedPageBreak/>
        <w:drawing>
          <wp:inline distT="0" distB="0" distL="0" distR="0">
            <wp:extent cx="4286250" cy="5749290"/>
            <wp:effectExtent l="19050" t="0" r="0" b="0"/>
            <wp:docPr id="14" name="Picture 14"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5"/>
                    <pic:cNvPicPr>
                      <a:picLocks noChangeAspect="1" noChangeArrowheads="1"/>
                    </pic:cNvPicPr>
                  </pic:nvPicPr>
                  <pic:blipFill>
                    <a:blip r:embed="rId16" cstate="print"/>
                    <a:srcRect/>
                    <a:stretch>
                      <a:fillRect/>
                    </a:stretch>
                  </pic:blipFill>
                  <pic:spPr bwMode="auto">
                    <a:xfrm>
                      <a:off x="0" y="0"/>
                      <a:ext cx="4286250" cy="5749290"/>
                    </a:xfrm>
                    <a:prstGeom prst="rect">
                      <a:avLst/>
                    </a:prstGeom>
                    <a:noFill/>
                    <a:ln w="9525">
                      <a:noFill/>
                      <a:miter lim="800000"/>
                      <a:headEnd/>
                      <a:tailEnd/>
                    </a:ln>
                  </pic:spPr>
                </pic:pic>
              </a:graphicData>
            </a:graphic>
          </wp:inline>
        </w:drawing>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b/>
          <w:bCs/>
          <w:sz w:val="28"/>
          <w:szCs w:val="28"/>
        </w:rPr>
        <w:t>2.5</w:t>
      </w:r>
      <w:r w:rsidRPr="00C74AEB">
        <w:rPr>
          <w:rFonts w:asciiTheme="majorBidi" w:eastAsia="Times New Roman" w:hAnsiTheme="majorBidi" w:cstheme="majorBidi"/>
          <w:sz w:val="28"/>
          <w:szCs w:val="28"/>
        </w:rPr>
        <w:t xml:space="preserve"> Examples of germination in two West African Sterculiaceae. (A) Epigeal in </w:t>
      </w:r>
      <w:r w:rsidRPr="00C74AEB">
        <w:rPr>
          <w:rFonts w:asciiTheme="majorBidi" w:eastAsia="Times New Roman" w:hAnsiTheme="majorBidi" w:cstheme="majorBidi"/>
          <w:i/>
          <w:iCs/>
          <w:sz w:val="28"/>
          <w:szCs w:val="28"/>
        </w:rPr>
        <w:t>Mansonia altissima</w:t>
      </w:r>
      <w:r w:rsidRPr="00C74AEB">
        <w:rPr>
          <w:rFonts w:asciiTheme="majorBidi" w:eastAsia="Times New Roman" w:hAnsiTheme="majorBidi" w:cstheme="majorBidi"/>
          <w:sz w:val="28"/>
          <w:szCs w:val="28"/>
        </w:rPr>
        <w:t xml:space="preserve">. (B) Hypogeal in </w:t>
      </w:r>
      <w:r w:rsidRPr="00C74AEB">
        <w:rPr>
          <w:rFonts w:asciiTheme="majorBidi" w:eastAsia="Times New Roman" w:hAnsiTheme="majorBidi" w:cstheme="majorBidi"/>
          <w:i/>
          <w:iCs/>
          <w:sz w:val="28"/>
          <w:szCs w:val="28"/>
        </w:rPr>
        <w:t>Cola nitida</w:t>
      </w:r>
      <w:r w:rsidRPr="00C74AEB">
        <w:rPr>
          <w:rFonts w:asciiTheme="majorBidi" w:eastAsia="Times New Roman" w:hAnsiTheme="majorBidi" w:cstheme="majorBidi"/>
          <w:sz w:val="28"/>
          <w:szCs w:val="28"/>
        </w:rPr>
        <w:t xml:space="preserve"> (after De La Mensburge 1966). (De La Mensburge, CTFT Nogent sur Marne)</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In epigeal germination anchoring of the young plant by the radicle is followed by rapid elongation of the hypocotyl which arches upwards above the soil surface and then straightens; simultaneously the cotyledons and plumule are exposed, to which the seedcoat may or may not still be attached. The plumule then develops into the primary shoot and photosynthetic leaves. In the subtype “durian germination” (Ng 1978) the hypocotyl elongates but the cotyledons are shed while still enclosed within the seedcoat (e.g. </w:t>
      </w:r>
      <w:r w:rsidRPr="00C74AEB">
        <w:rPr>
          <w:rFonts w:asciiTheme="majorBidi" w:eastAsia="Times New Roman" w:hAnsiTheme="majorBidi" w:cstheme="majorBidi"/>
          <w:sz w:val="28"/>
          <w:szCs w:val="28"/>
          <w:u w:val="single"/>
        </w:rPr>
        <w:t>Durio zibethinus</w:t>
      </w:r>
      <w:r w:rsidRPr="00C74AEB">
        <w:rPr>
          <w:rFonts w:asciiTheme="majorBidi" w:eastAsia="Times New Roman" w:hAnsiTheme="majorBidi" w:cstheme="majorBidi"/>
          <w:sz w:val="28"/>
          <w:szCs w:val="28"/>
        </w:rPr>
        <w:t xml:space="preserve">, </w:t>
      </w:r>
      <w:r w:rsidRPr="00C74AEB">
        <w:rPr>
          <w:rFonts w:asciiTheme="majorBidi" w:eastAsia="Times New Roman" w:hAnsiTheme="majorBidi" w:cstheme="majorBidi"/>
          <w:sz w:val="28"/>
          <w:szCs w:val="28"/>
          <w:u w:val="single"/>
        </w:rPr>
        <w:t>Strombosia javanica</w:t>
      </w:r>
      <w:r w:rsidRPr="00C74AEB">
        <w:rPr>
          <w:rFonts w:asciiTheme="majorBidi" w:eastAsia="Times New Roman" w:hAnsiTheme="majorBidi" w:cstheme="majorBidi"/>
          <w:sz w:val="28"/>
          <w:szCs w:val="28"/>
        </w:rPr>
        <w:t xml:space="preserve">). In hypogeal </w:t>
      </w:r>
      <w:r w:rsidRPr="00C74AEB">
        <w:rPr>
          <w:rFonts w:asciiTheme="majorBidi" w:eastAsia="Times New Roman" w:hAnsiTheme="majorBidi" w:cstheme="majorBidi"/>
          <w:sz w:val="28"/>
          <w:szCs w:val="28"/>
        </w:rPr>
        <w:lastRenderedPageBreak/>
        <w:t xml:space="preserve">germination, the cotyledons remain </w:t>
      </w:r>
      <w:r w:rsidRPr="00C74AEB">
        <w:rPr>
          <w:rFonts w:asciiTheme="majorBidi" w:eastAsia="Times New Roman" w:hAnsiTheme="majorBidi" w:cstheme="majorBidi"/>
          <w:sz w:val="28"/>
          <w:szCs w:val="28"/>
          <w:u w:val="single"/>
        </w:rPr>
        <w:t>in situ</w:t>
      </w:r>
      <w:r w:rsidRPr="00C74AEB">
        <w:rPr>
          <w:rFonts w:asciiTheme="majorBidi" w:eastAsia="Times New Roman" w:hAnsiTheme="majorBidi" w:cstheme="majorBidi"/>
          <w:sz w:val="28"/>
          <w:szCs w:val="28"/>
        </w:rPr>
        <w:t xml:space="preserve"> underground or on the ground while elongation takes place in the plumule. In the subtype “semihypogeal germination” (Ng 1978) the cotyledons are exposed but remain on the ground. The two main types, epigeal and hypogeal and the two subtypes, durian and semihypogeal are the result of the four possible combinations of two independent variables: hypocotyl elongated or not and cotyledons exposed or not. All four combinations occur in the humid tropics.</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Even in non-dormant seeds there is considerable variation, between species and individuals, in the speed of germination, from a few days to several weeks; much of this is due to different rates of imbibition in the first stage. Many tropical rain forest species, with high moisture content and permeable seedcoats at seed fall, must germinate within a few weeks. If they fail to find suitable conditions soon, they lose viability and die.</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5" w:name="ch2.10"/>
      <w:r w:rsidRPr="00C74AEB">
        <w:rPr>
          <w:rFonts w:asciiTheme="majorBidi" w:eastAsia="Times New Roman" w:hAnsiTheme="majorBidi" w:cstheme="majorBidi"/>
          <w:b/>
          <w:bCs/>
          <w:color w:val="D03724"/>
          <w:sz w:val="28"/>
          <w:szCs w:val="28"/>
          <w:u w:val="single"/>
        </w:rPr>
        <w:t>Dormancy</w:t>
      </w:r>
      <w:bookmarkEnd w:id="15"/>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The term “dormancy” refers to a condition in a viable seed which prevents it from germinating when supplied with the factors normally considered adequate for germination - suitable temperature, moisture and gaseous environment. A viable seed is defined as one which can germinate under favourable conditions, providing any dormancy that may be present is removed (Roberts 1972).</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Dormancy in nature serves to protect the seed from conditions which are temporarily suitable for germination but which quickly revert to conditions too harsh for survival of the tender young seedling. Thus a seedcoat relatively impermeable to moisture prevents germination during isolated showers in the middle of a long dry season, while permitting it during a sustained rainy season. In the cool temperate zone the type of embryo dormancy which can be removed only through exposure to low temperatures facilitates subsequent germination in spring, while preventing it in autumn, when the resulting seedling would be unlikely to survive the winter.</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The strength of dormancy has been observed to vary according to latitude and provenance, and from year to year even in seed from the same parent. There is also differential dormancy within the same species and seedlot, so that germination is staggered over a more or less extended period of time. In the Malaysian woody flora, about 50 % of species complete germination within six weeks or less, so that the differential is not very great, but in some species such as the hard-seeded leguminous </w:t>
      </w:r>
      <w:r w:rsidRPr="00C74AEB">
        <w:rPr>
          <w:rFonts w:asciiTheme="majorBidi" w:eastAsia="Times New Roman" w:hAnsiTheme="majorBidi" w:cstheme="majorBidi"/>
          <w:sz w:val="28"/>
          <w:szCs w:val="28"/>
          <w:u w:val="single"/>
        </w:rPr>
        <w:t>Parkia javanica</w:t>
      </w:r>
      <w:r w:rsidRPr="00C74AEB">
        <w:rPr>
          <w:rFonts w:asciiTheme="majorBidi" w:eastAsia="Times New Roman" w:hAnsiTheme="majorBidi" w:cstheme="majorBidi"/>
          <w:sz w:val="28"/>
          <w:szCs w:val="28"/>
        </w:rPr>
        <w:t xml:space="preserve"> the germination period may extend from 1 week after </w:t>
      </w:r>
      <w:r w:rsidRPr="00C74AEB">
        <w:rPr>
          <w:rFonts w:asciiTheme="majorBidi" w:eastAsia="Times New Roman" w:hAnsiTheme="majorBidi" w:cstheme="majorBidi"/>
          <w:sz w:val="28"/>
          <w:szCs w:val="28"/>
        </w:rPr>
        <w:lastRenderedPageBreak/>
        <w:t>sowing for the first seed to two years for the last (Ng 1980). Differential dormancy and staggered germination insures against the entire seed crop being destroyed by a single climatic catastrophe or pest.</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In nature a number of external factors may work, more or less slowly, to end seedcoat dormancy. These include alternate heating and cooling, alternate wetting and drying, fire and the activities of animals, soil organisms, fungi, termites and other insects. Dormancy due to embryo immaturity will come to an end if the embryo is given time and suitable conditions in which to mature after seed shed.</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The exact mechanisms of physiological dormancy of the embryo, and of the processes which can terminate it, have been widely investigated but underlying causes are still little understood (Krugman et al. 1974). There is good evidence that growth-promoting hormones, of which gibberellin is a well known example, and growth-inhibiting hormones interact in the maintenance or breaking of dormancy. In temperate climates the balance between inhibitors and growth-promoters is altered by a combination of low temperature and high moisture maintained over a period of time which varies from species to species. This combination is provided naturally during winter, the season least suitable for growth. It can trigger biochemical changes in the embryo which lead to the breaking of dormancy, the initiation of embryo metabolism and growth, and the subsequent germination of the seedling.</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Research on the physiology of tropical tree species has, unfortunately, been only a fraction of that done on temperate species. There is no reason to suppose that the combination of low temperature and high moisture - the technique of “stratification” when applied artificially - would have any effect on tropical seeds possessing embryo dormancy (if they exist). In the dry tropics, on the contrary, a combination of conditions typical of the season least favourable for growth - high temperature and low moisture - would seem more likely to trigger the breaking of embryo dormancy and lead to germination in the following rainy season. In fact, seedcoat dormancy by itself appears to provide adequate protection for species of the dry tropics.</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From the forester's point of view dormancy has some disadvantages. Delayed and irregular germination in the nursery is a serious constraint on efficient nursery management (Bonner et al. 1974). Much research has therefore gone into devising effective artificial treatments to remove dormancy, in order to ensure that the seeds germinate quickly and evenly in the nursery beds. These treatments are described in Chapter 8.</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lastRenderedPageBreak/>
        <w:t>On the other hand, dormancy confers certain advantages. Not only does it improve the chances of survival in nature, as mentioned previously, but it preserves the seed against temporarily unsuitable conditions such as may occur during the period between seed collection and storage. High quality orthodox but non-dormant seeds, dried to the appropriate moisture content and stored at the correct temperature, should have as long a life in storage as dormant seeds, but dormancy provides an insurance against the loss of viability during transport and processing which can easily occur in non-dormant seeds in less than ideal conditions.</w:t>
      </w:r>
    </w:p>
    <w:p w:rsidR="00475B03" w:rsidRPr="00C74AEB" w:rsidRDefault="00475B03" w:rsidP="00475B03">
      <w:pPr>
        <w:spacing w:before="100" w:beforeAutospacing="1" w:after="100" w:afterAutospacing="1" w:line="240" w:lineRule="auto"/>
        <w:jc w:val="center"/>
        <w:outlineLvl w:val="1"/>
        <w:rPr>
          <w:rFonts w:asciiTheme="majorBidi" w:eastAsia="Times New Roman" w:hAnsiTheme="majorBidi" w:cstheme="majorBidi"/>
          <w:b/>
          <w:bCs/>
          <w:color w:val="D03724"/>
          <w:sz w:val="28"/>
          <w:szCs w:val="28"/>
        </w:rPr>
      </w:pPr>
      <w:bookmarkStart w:id="16" w:name="ch2.11"/>
      <w:r w:rsidRPr="00C74AEB">
        <w:rPr>
          <w:rFonts w:asciiTheme="majorBidi" w:eastAsia="Times New Roman" w:hAnsiTheme="majorBidi" w:cstheme="majorBidi"/>
          <w:b/>
          <w:bCs/>
          <w:color w:val="D03724"/>
          <w:sz w:val="28"/>
          <w:szCs w:val="28"/>
          <w:u w:val="single"/>
        </w:rPr>
        <w:t>Hazards of Seed Production</w:t>
      </w:r>
      <w:bookmarkEnd w:id="16"/>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Both the quantity and the quality of seed crops may be greatly affected by external factors. Climatic factors can affect the abundance of flowering and thus indirectly of seed production. There is some evidence that above-average temperatures and a modest degree of moisture stress in spring and early summer can induce abundant formation of flower buds in temperate regions (Krugman et al. 1974). In Nigeria good seed years occur in </w:t>
      </w:r>
      <w:r w:rsidRPr="00C74AEB">
        <w:rPr>
          <w:rFonts w:asciiTheme="majorBidi" w:eastAsia="Times New Roman" w:hAnsiTheme="majorBidi" w:cstheme="majorBidi"/>
          <w:sz w:val="28"/>
          <w:szCs w:val="28"/>
          <w:u w:val="single"/>
        </w:rPr>
        <w:t>Triplochiton scleroxylon</w:t>
      </w:r>
      <w:r w:rsidRPr="00C74AEB">
        <w:rPr>
          <w:rFonts w:asciiTheme="majorBidi" w:eastAsia="Times New Roman" w:hAnsiTheme="majorBidi" w:cstheme="majorBidi"/>
          <w:sz w:val="28"/>
          <w:szCs w:val="28"/>
        </w:rPr>
        <w:t xml:space="preserve"> following a particularly dry (30 % or less of average rainfall) August, the month when there is a diminution of rainfall between the heavy early and heavy late rains (Howland and Bowen 1977).</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More extreme cases of unseasonal climate usually reduce the crop of flowers or fruits. Late spring frosts in temperate regions kill flowers or young fruits and abnormally high temperatures or drought may have a similar effect. Even if death and premature shed of whole fruits does not occur, a proportion of the seeds may abort later. Mechanical destruction of flowers or fruits may be caused by exceptionally high winds or hailstorms. Continuous rain at the time of pollen dispersal has a particularly adverse effect on the amount of seed set, whether pollination is by wind or insects. </w:t>
      </w:r>
      <w:r w:rsidRPr="00C74AEB">
        <w:rPr>
          <w:rFonts w:asciiTheme="majorBidi" w:eastAsia="Times New Roman" w:hAnsiTheme="majorBidi" w:cstheme="majorBidi"/>
          <w:sz w:val="28"/>
          <w:szCs w:val="28"/>
          <w:u w:val="single"/>
        </w:rPr>
        <w:t>Tectona</w:t>
      </w:r>
      <w:r w:rsidRPr="00C74AEB">
        <w:rPr>
          <w:rFonts w:asciiTheme="majorBidi" w:eastAsia="Times New Roman" w:hAnsiTheme="majorBidi" w:cstheme="majorBidi"/>
          <w:sz w:val="28"/>
          <w:szCs w:val="28"/>
        </w:rPr>
        <w:t xml:space="preserve"> flowers during the rainy season and this may account for the low average rate of fertilization of 1 – 3 % reported from Thailand over the period 1967 – 72 (Hedegart 1975). Rain discourages flight of the pollinating insects as well as washing off pollen grains from the stigma before they germinate. Continuous wet weather during the pollen dispersal season is considered the main factor responsible for the characteristically poor seed crops of </w:t>
      </w:r>
      <w:r w:rsidRPr="00C74AEB">
        <w:rPr>
          <w:rFonts w:asciiTheme="majorBidi" w:eastAsia="Times New Roman" w:hAnsiTheme="majorBidi" w:cstheme="majorBidi"/>
          <w:sz w:val="28"/>
          <w:szCs w:val="28"/>
          <w:u w:val="single"/>
        </w:rPr>
        <w:t>Pinus merkusii</w:t>
      </w:r>
      <w:r w:rsidRPr="00C74AEB">
        <w:rPr>
          <w:rFonts w:asciiTheme="majorBidi" w:eastAsia="Times New Roman" w:hAnsiTheme="majorBidi" w:cstheme="majorBidi"/>
          <w:sz w:val="28"/>
          <w:szCs w:val="28"/>
        </w:rPr>
        <w:t xml:space="preserve"> in Indonesia and Malaysia. Tamari (1976) reported that over 90 % of Dipterocarp flowers in Malaysia failed to develop into fruits.</w:t>
      </w:r>
    </w:p>
    <w:p w:rsidR="00475B03" w:rsidRPr="00C74AEB" w:rsidRDefault="00475B03" w:rsidP="00475B03">
      <w:pPr>
        <w:spacing w:before="100" w:beforeAutospacing="1" w:after="100" w:afterAutospacing="1" w:line="240" w:lineRule="auto"/>
        <w:rPr>
          <w:rFonts w:asciiTheme="majorBidi" w:eastAsia="Times New Roman" w:hAnsiTheme="majorBidi" w:cstheme="majorBidi"/>
          <w:sz w:val="28"/>
          <w:szCs w:val="28"/>
        </w:rPr>
      </w:pPr>
      <w:r w:rsidRPr="00C74AEB">
        <w:rPr>
          <w:rFonts w:asciiTheme="majorBidi" w:eastAsia="Times New Roman" w:hAnsiTheme="majorBidi" w:cstheme="majorBidi"/>
          <w:sz w:val="28"/>
          <w:szCs w:val="28"/>
        </w:rPr>
        <w:t xml:space="preserve">Birds, mammals, insects, fungi and bacteria all do damage in flowering as well as fruiting stages. Insects are probably responsible for the most serious losses in the greatest number of species. For example, the weevil </w:t>
      </w:r>
      <w:r w:rsidRPr="00C74AEB">
        <w:rPr>
          <w:rFonts w:asciiTheme="majorBidi" w:eastAsia="Times New Roman" w:hAnsiTheme="majorBidi" w:cstheme="majorBidi"/>
          <w:sz w:val="28"/>
          <w:szCs w:val="28"/>
          <w:u w:val="single"/>
        </w:rPr>
        <w:t>Apion ghanaense</w:t>
      </w:r>
      <w:r w:rsidRPr="00C74AEB">
        <w:rPr>
          <w:rFonts w:asciiTheme="majorBidi" w:eastAsia="Times New Roman" w:hAnsiTheme="majorBidi" w:cstheme="majorBidi"/>
          <w:sz w:val="28"/>
          <w:szCs w:val="28"/>
        </w:rPr>
        <w:t xml:space="preserve"> destroys a large part of the flowers and seeds of </w:t>
      </w:r>
      <w:r w:rsidRPr="00C74AEB">
        <w:rPr>
          <w:rFonts w:asciiTheme="majorBidi" w:eastAsia="Times New Roman" w:hAnsiTheme="majorBidi" w:cstheme="majorBidi"/>
          <w:sz w:val="28"/>
          <w:szCs w:val="28"/>
          <w:u w:val="single"/>
        </w:rPr>
        <w:t>Triplochiton</w:t>
      </w:r>
      <w:r w:rsidRPr="00C74AEB">
        <w:rPr>
          <w:rFonts w:asciiTheme="majorBidi" w:eastAsia="Times New Roman" w:hAnsiTheme="majorBidi" w:cstheme="majorBidi"/>
          <w:sz w:val="28"/>
          <w:szCs w:val="28"/>
        </w:rPr>
        <w:t xml:space="preserve"> each year (Jones 1975). The </w:t>
      </w:r>
      <w:r w:rsidRPr="00C74AEB">
        <w:rPr>
          <w:rFonts w:asciiTheme="majorBidi" w:eastAsia="Times New Roman" w:hAnsiTheme="majorBidi" w:cstheme="majorBidi"/>
          <w:sz w:val="28"/>
          <w:szCs w:val="28"/>
        </w:rPr>
        <w:lastRenderedPageBreak/>
        <w:t xml:space="preserve">larvae of </w:t>
      </w:r>
      <w:r w:rsidRPr="00C74AEB">
        <w:rPr>
          <w:rFonts w:asciiTheme="majorBidi" w:eastAsia="Times New Roman" w:hAnsiTheme="majorBidi" w:cstheme="majorBidi"/>
          <w:sz w:val="28"/>
          <w:szCs w:val="28"/>
          <w:u w:val="single"/>
        </w:rPr>
        <w:t>Pagyda salvaris</w:t>
      </w:r>
      <w:r w:rsidRPr="00C74AEB">
        <w:rPr>
          <w:rFonts w:asciiTheme="majorBidi" w:eastAsia="Times New Roman" w:hAnsiTheme="majorBidi" w:cstheme="majorBidi"/>
          <w:sz w:val="28"/>
          <w:szCs w:val="28"/>
        </w:rPr>
        <w:t xml:space="preserve"> may destroy as much as 90 % of the flower buds of </w:t>
      </w:r>
      <w:r w:rsidRPr="00C74AEB">
        <w:rPr>
          <w:rFonts w:asciiTheme="majorBidi" w:eastAsia="Times New Roman" w:hAnsiTheme="majorBidi" w:cstheme="majorBidi"/>
          <w:sz w:val="28"/>
          <w:szCs w:val="28"/>
          <w:u w:val="single"/>
        </w:rPr>
        <w:t>Tectona</w:t>
      </w:r>
      <w:r w:rsidRPr="00C74AEB">
        <w:rPr>
          <w:rFonts w:asciiTheme="majorBidi" w:eastAsia="Times New Roman" w:hAnsiTheme="majorBidi" w:cstheme="majorBidi"/>
          <w:sz w:val="28"/>
          <w:szCs w:val="28"/>
        </w:rPr>
        <w:t xml:space="preserve"> in some years (Hedegart 1975). Two species of the Bruchid genus </w:t>
      </w:r>
      <w:r w:rsidRPr="00C74AEB">
        <w:rPr>
          <w:rFonts w:asciiTheme="majorBidi" w:eastAsia="Times New Roman" w:hAnsiTheme="majorBidi" w:cstheme="majorBidi"/>
          <w:sz w:val="28"/>
          <w:szCs w:val="28"/>
          <w:u w:val="single"/>
        </w:rPr>
        <w:t>Amblycerus</w:t>
      </w:r>
      <w:r w:rsidRPr="00C74AEB">
        <w:rPr>
          <w:rFonts w:asciiTheme="majorBidi" w:eastAsia="Times New Roman" w:hAnsiTheme="majorBidi" w:cstheme="majorBidi"/>
          <w:sz w:val="28"/>
          <w:szCs w:val="28"/>
        </w:rPr>
        <w:t xml:space="preserve"> can destroy many seeds of </w:t>
      </w:r>
      <w:r w:rsidRPr="00C74AEB">
        <w:rPr>
          <w:rFonts w:asciiTheme="majorBidi" w:eastAsia="Times New Roman" w:hAnsiTheme="majorBidi" w:cstheme="majorBidi"/>
          <w:sz w:val="28"/>
          <w:szCs w:val="28"/>
          <w:u w:val="single"/>
        </w:rPr>
        <w:t>Cordia alliodora</w:t>
      </w:r>
      <w:r w:rsidRPr="00C74AEB">
        <w:rPr>
          <w:rFonts w:asciiTheme="majorBidi" w:eastAsia="Times New Roman" w:hAnsiTheme="majorBidi" w:cstheme="majorBidi"/>
          <w:sz w:val="28"/>
          <w:szCs w:val="28"/>
        </w:rPr>
        <w:t xml:space="preserve">, but damage can be reduced by collecting the seeds three weeks before natural seedfall (Tschinkel 1967). The weevil </w:t>
      </w:r>
      <w:r w:rsidRPr="00C74AEB">
        <w:rPr>
          <w:rFonts w:asciiTheme="majorBidi" w:eastAsia="Times New Roman" w:hAnsiTheme="majorBidi" w:cstheme="majorBidi"/>
          <w:sz w:val="28"/>
          <w:szCs w:val="28"/>
          <w:u w:val="single"/>
        </w:rPr>
        <w:t>Nanophyes</w:t>
      </w:r>
      <w:r w:rsidRPr="00C74AEB">
        <w:rPr>
          <w:rFonts w:asciiTheme="majorBidi" w:eastAsia="Times New Roman" w:hAnsiTheme="majorBidi" w:cstheme="majorBidi"/>
          <w:sz w:val="28"/>
          <w:szCs w:val="28"/>
        </w:rPr>
        <w:t xml:space="preserve"> sp. may attack up to 60 % of the seeds of </w:t>
      </w:r>
      <w:r w:rsidRPr="00C74AEB">
        <w:rPr>
          <w:rFonts w:asciiTheme="majorBidi" w:eastAsia="Times New Roman" w:hAnsiTheme="majorBidi" w:cstheme="majorBidi"/>
          <w:sz w:val="28"/>
          <w:szCs w:val="28"/>
          <w:u w:val="single"/>
        </w:rPr>
        <w:t>Terminalia ivorensis</w:t>
      </w:r>
      <w:r w:rsidRPr="00C74AEB">
        <w:rPr>
          <w:rFonts w:asciiTheme="majorBidi" w:eastAsia="Times New Roman" w:hAnsiTheme="majorBidi" w:cstheme="majorBidi"/>
          <w:sz w:val="28"/>
          <w:szCs w:val="28"/>
        </w:rPr>
        <w:t xml:space="preserve"> (Lamb and Ntima 1971). Cone worms of the genus </w:t>
      </w:r>
      <w:r w:rsidRPr="00C74AEB">
        <w:rPr>
          <w:rFonts w:asciiTheme="majorBidi" w:eastAsia="Times New Roman" w:hAnsiTheme="majorBidi" w:cstheme="majorBidi"/>
          <w:sz w:val="28"/>
          <w:szCs w:val="28"/>
          <w:u w:val="single"/>
        </w:rPr>
        <w:t>Dioryctria</w:t>
      </w:r>
      <w:r w:rsidRPr="00C74AEB">
        <w:rPr>
          <w:rFonts w:asciiTheme="majorBidi" w:eastAsia="Times New Roman" w:hAnsiTheme="majorBidi" w:cstheme="majorBidi"/>
          <w:sz w:val="28"/>
          <w:szCs w:val="28"/>
        </w:rPr>
        <w:t xml:space="preserve"> have been known to damage 60 % of maturing cones and seeds of </w:t>
      </w:r>
      <w:r w:rsidRPr="00C74AEB">
        <w:rPr>
          <w:rFonts w:asciiTheme="majorBidi" w:eastAsia="Times New Roman" w:hAnsiTheme="majorBidi" w:cstheme="majorBidi"/>
          <w:sz w:val="28"/>
          <w:szCs w:val="28"/>
          <w:u w:val="single"/>
        </w:rPr>
        <w:t>Pinus elliottii</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P. palustris</w:t>
      </w:r>
      <w:r w:rsidRPr="00C74AEB">
        <w:rPr>
          <w:rFonts w:asciiTheme="majorBidi" w:eastAsia="Times New Roman" w:hAnsiTheme="majorBidi" w:cstheme="majorBidi"/>
          <w:sz w:val="28"/>
          <w:szCs w:val="28"/>
        </w:rPr>
        <w:t xml:space="preserve"> in the southern USA (Krugman et al. 1974) and the same genus can also cause severe damage on </w:t>
      </w:r>
      <w:r w:rsidRPr="00C74AEB">
        <w:rPr>
          <w:rFonts w:asciiTheme="majorBidi" w:eastAsia="Times New Roman" w:hAnsiTheme="majorBidi" w:cstheme="majorBidi"/>
          <w:sz w:val="28"/>
          <w:szCs w:val="28"/>
          <w:u w:val="single"/>
        </w:rPr>
        <w:t>Pinus merkusii</w:t>
      </w:r>
      <w:r w:rsidRPr="00C74AEB">
        <w:rPr>
          <w:rFonts w:asciiTheme="majorBidi" w:eastAsia="Times New Roman" w:hAnsiTheme="majorBidi" w:cstheme="majorBidi"/>
          <w:sz w:val="28"/>
          <w:szCs w:val="28"/>
        </w:rPr>
        <w:t xml:space="preserve"> seeds in the Philippines (Gordon et al. 1972). Larvae of </w:t>
      </w:r>
      <w:r w:rsidRPr="00C74AEB">
        <w:rPr>
          <w:rFonts w:asciiTheme="majorBidi" w:eastAsia="Times New Roman" w:hAnsiTheme="majorBidi" w:cstheme="majorBidi"/>
          <w:sz w:val="28"/>
          <w:szCs w:val="28"/>
          <w:u w:val="single"/>
        </w:rPr>
        <w:t>Agathiphaga</w:t>
      </w:r>
      <w:r w:rsidRPr="00C74AEB">
        <w:rPr>
          <w:rFonts w:asciiTheme="majorBidi" w:eastAsia="Times New Roman" w:hAnsiTheme="majorBidi" w:cstheme="majorBidi"/>
          <w:sz w:val="28"/>
          <w:szCs w:val="28"/>
        </w:rPr>
        <w:t xml:space="preserve">, a genus of moths, may destroy over 50 % of the seeds in cones of several species of </w:t>
      </w:r>
      <w:r w:rsidRPr="00C74AEB">
        <w:rPr>
          <w:rFonts w:asciiTheme="majorBidi" w:eastAsia="Times New Roman" w:hAnsiTheme="majorBidi" w:cstheme="majorBidi"/>
          <w:sz w:val="28"/>
          <w:szCs w:val="28"/>
          <w:u w:val="single"/>
        </w:rPr>
        <w:t>Agathis</w:t>
      </w:r>
      <w:r w:rsidRPr="00C74AEB">
        <w:rPr>
          <w:rFonts w:asciiTheme="majorBidi" w:eastAsia="Times New Roman" w:hAnsiTheme="majorBidi" w:cstheme="majorBidi"/>
          <w:sz w:val="28"/>
          <w:szCs w:val="28"/>
        </w:rPr>
        <w:t xml:space="preserve"> in Queensland and the western Pacific islands (Whitmore 1977). Seeds of many dry area species of </w:t>
      </w:r>
      <w:r w:rsidRPr="00C74AEB">
        <w:rPr>
          <w:rFonts w:asciiTheme="majorBidi" w:eastAsia="Times New Roman" w:hAnsiTheme="majorBidi" w:cstheme="majorBidi"/>
          <w:sz w:val="28"/>
          <w:szCs w:val="28"/>
          <w:u w:val="single"/>
        </w:rPr>
        <w:t>Acacia</w:t>
      </w:r>
      <w:r w:rsidRPr="00C74AEB">
        <w:rPr>
          <w:rFonts w:asciiTheme="majorBidi" w:eastAsia="Times New Roman" w:hAnsiTheme="majorBidi" w:cstheme="majorBidi"/>
          <w:sz w:val="28"/>
          <w:szCs w:val="28"/>
        </w:rPr>
        <w:t xml:space="preserve"> and </w:t>
      </w:r>
      <w:r w:rsidRPr="00C74AEB">
        <w:rPr>
          <w:rFonts w:asciiTheme="majorBidi" w:eastAsia="Times New Roman" w:hAnsiTheme="majorBidi" w:cstheme="majorBidi"/>
          <w:sz w:val="28"/>
          <w:szCs w:val="28"/>
          <w:u w:val="single"/>
        </w:rPr>
        <w:t>Prosopis</w:t>
      </w:r>
      <w:r w:rsidRPr="00C74AEB">
        <w:rPr>
          <w:rFonts w:asciiTheme="majorBidi" w:eastAsia="Times New Roman" w:hAnsiTheme="majorBidi" w:cstheme="majorBidi"/>
          <w:sz w:val="28"/>
          <w:szCs w:val="28"/>
        </w:rPr>
        <w:t xml:space="preserve"> suffer serious damage from Bruchid larvae (Armitage et al. 1980). Birds and mammals, especially squirrels, may consume considerable numbers of seeds in some years, although they also perform a useful service in seed dispersal. Losses from pests and diseases do not normally have a serious effect in years of abundant seed production, but in years when flowering is poor for climatic reasons they can convert a light crop into complete failure.</w:t>
      </w:r>
    </w:p>
    <w:sectPr w:rsidR="00475B03" w:rsidRPr="00C74AEB" w:rsidSect="004D261E">
      <w:footerReference w:type="defaul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BF4" w:rsidRDefault="00666BF4" w:rsidP="001D4EDD">
      <w:pPr>
        <w:spacing w:after="0" w:line="240" w:lineRule="auto"/>
      </w:pPr>
      <w:r>
        <w:separator/>
      </w:r>
    </w:p>
  </w:endnote>
  <w:endnote w:type="continuationSeparator" w:id="0">
    <w:p w:rsidR="00666BF4" w:rsidRDefault="00666BF4" w:rsidP="001D4E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7032"/>
      <w:docPartObj>
        <w:docPartGallery w:val="Page Numbers (Bottom of Page)"/>
        <w:docPartUnique/>
      </w:docPartObj>
    </w:sdtPr>
    <w:sdtContent>
      <w:p w:rsidR="001D4EDD" w:rsidRDefault="001D4EDD">
        <w:pPr>
          <w:pStyle w:val="Footer"/>
          <w:jc w:val="center"/>
        </w:pPr>
        <w:fldSimple w:instr=" PAGE   \* MERGEFORMAT ">
          <w:r>
            <w:rPr>
              <w:noProof/>
            </w:rPr>
            <w:t>1</w:t>
          </w:r>
        </w:fldSimple>
      </w:p>
    </w:sdtContent>
  </w:sdt>
  <w:p w:rsidR="001D4EDD" w:rsidRDefault="001D4E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BF4" w:rsidRDefault="00666BF4" w:rsidP="001D4EDD">
      <w:pPr>
        <w:spacing w:after="0" w:line="240" w:lineRule="auto"/>
      </w:pPr>
      <w:r>
        <w:separator/>
      </w:r>
    </w:p>
  </w:footnote>
  <w:footnote w:type="continuationSeparator" w:id="0">
    <w:p w:rsidR="00666BF4" w:rsidRDefault="00666BF4" w:rsidP="001D4E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716EC"/>
    <w:multiLevelType w:val="multilevel"/>
    <w:tmpl w:val="44FCC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592F49"/>
    <w:multiLevelType w:val="multilevel"/>
    <w:tmpl w:val="640699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0A679F"/>
    <w:multiLevelType w:val="multilevel"/>
    <w:tmpl w:val="362CB1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475B03"/>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B2177"/>
    <w:rsid w:val="001B40BA"/>
    <w:rsid w:val="001B5458"/>
    <w:rsid w:val="001D2AAE"/>
    <w:rsid w:val="001D4EDD"/>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2AF0"/>
    <w:rsid w:val="00326256"/>
    <w:rsid w:val="0033127B"/>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B03"/>
    <w:rsid w:val="00475C42"/>
    <w:rsid w:val="00482433"/>
    <w:rsid w:val="004841A5"/>
    <w:rsid w:val="00485DB4"/>
    <w:rsid w:val="00491342"/>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66BF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4AEB"/>
    <w:rsid w:val="00C75ADD"/>
    <w:rsid w:val="00C770F9"/>
    <w:rsid w:val="00C82608"/>
    <w:rsid w:val="00C96E4C"/>
    <w:rsid w:val="00CA386A"/>
    <w:rsid w:val="00CA72E4"/>
    <w:rsid w:val="00CC1ED1"/>
    <w:rsid w:val="00CC7F9D"/>
    <w:rsid w:val="00CD243D"/>
    <w:rsid w:val="00CE3AE2"/>
    <w:rsid w:val="00CE7420"/>
    <w:rsid w:val="00CF06AE"/>
    <w:rsid w:val="00CF44DF"/>
    <w:rsid w:val="00CF4641"/>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475B03"/>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paragraph" w:styleId="Heading2">
    <w:name w:val="heading 2"/>
    <w:basedOn w:val="Normal"/>
    <w:link w:val="Heading2Char"/>
    <w:uiPriority w:val="9"/>
    <w:qFormat/>
    <w:rsid w:val="00475B03"/>
    <w:pPr>
      <w:spacing w:before="100" w:beforeAutospacing="1" w:after="100" w:afterAutospacing="1" w:line="240" w:lineRule="auto"/>
      <w:jc w:val="center"/>
      <w:outlineLvl w:val="1"/>
    </w:pPr>
    <w:rPr>
      <w:rFonts w:ascii="Arial" w:eastAsia="Times New Roman" w:hAnsi="Arial" w:cs="Arial"/>
      <w:b/>
      <w:bCs/>
      <w:color w:val="D0372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5B03"/>
    <w:rPr>
      <w:rFonts w:ascii="Arial" w:eastAsia="Times New Roman" w:hAnsi="Arial" w:cs="Arial"/>
      <w:b/>
      <w:bCs/>
      <w:color w:val="D85F05"/>
      <w:kern w:val="36"/>
      <w:sz w:val="32"/>
      <w:szCs w:val="32"/>
    </w:rPr>
  </w:style>
  <w:style w:type="character" w:customStyle="1" w:styleId="Heading2Char">
    <w:name w:val="Heading 2 Char"/>
    <w:basedOn w:val="DefaultParagraphFont"/>
    <w:link w:val="Heading2"/>
    <w:uiPriority w:val="9"/>
    <w:rsid w:val="00475B03"/>
    <w:rPr>
      <w:rFonts w:ascii="Arial" w:eastAsia="Times New Roman" w:hAnsi="Arial" w:cs="Arial"/>
      <w:b/>
      <w:bCs/>
      <w:color w:val="D03724"/>
      <w:sz w:val="28"/>
      <w:szCs w:val="28"/>
    </w:rPr>
  </w:style>
  <w:style w:type="paragraph" w:styleId="NormalWeb">
    <w:name w:val="Normal (Web)"/>
    <w:basedOn w:val="Normal"/>
    <w:uiPriority w:val="99"/>
    <w:semiHidden/>
    <w:unhideWhenUsed/>
    <w:rsid w:val="00475B0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75B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5B03"/>
    <w:rPr>
      <w:rFonts w:ascii="Tahoma" w:hAnsi="Tahoma" w:cs="Tahoma"/>
      <w:sz w:val="16"/>
      <w:szCs w:val="16"/>
    </w:rPr>
  </w:style>
  <w:style w:type="paragraph" w:styleId="Header">
    <w:name w:val="header"/>
    <w:basedOn w:val="Normal"/>
    <w:link w:val="HeaderChar"/>
    <w:uiPriority w:val="99"/>
    <w:semiHidden/>
    <w:unhideWhenUsed/>
    <w:rsid w:val="001D4E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D4EDD"/>
  </w:style>
  <w:style w:type="paragraph" w:styleId="Footer">
    <w:name w:val="footer"/>
    <w:basedOn w:val="Normal"/>
    <w:link w:val="FooterChar"/>
    <w:uiPriority w:val="99"/>
    <w:unhideWhenUsed/>
    <w:rsid w:val="001D4E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4ED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8.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5352</Words>
  <Characters>30510</Characters>
  <Application>Microsoft Office Word</Application>
  <DocSecurity>0</DocSecurity>
  <Lines>254</Lines>
  <Paragraphs>71</Paragraphs>
  <ScaleCrop>false</ScaleCrop>
  <Company>AgriSite</Company>
  <LinksUpToDate>false</LinksUpToDate>
  <CharactersWithSpaces>35791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2011-10-20T16:43:00Z</dcterms:created>
  <dcterms:modified xsi:type="dcterms:W3CDTF">2011-10-20T18:08:00Z</dcterms:modified>
</cp:coreProperties>
</file>